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20E2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cs="方正小标宋_GBK"/>
          <w:b w:val="0"/>
          <w:bCs w:val="0"/>
          <w:lang w:val="en-US" w:eastAsia="zh-CN"/>
        </w:rPr>
      </w:pPr>
      <w:r>
        <w:rPr>
          <w:rFonts w:hint="eastAsia" w:ascii="方正小标宋_GBK" w:hAnsi="方正小标宋_GBK" w:cs="方正小标宋_GBK"/>
          <w:b w:val="0"/>
          <w:bCs w:val="0"/>
          <w:lang w:val="en-US" w:eastAsia="zh-CN"/>
        </w:rPr>
        <w:t>昌吉国家农业高新技术产业示范区</w:t>
      </w:r>
      <w:bookmarkStart w:id="0" w:name="OLE_LINK1"/>
      <w:r>
        <w:rPr>
          <w:rFonts w:hint="eastAsia" w:ascii="方正小标宋_GBK" w:hAnsi="方正小标宋_GBK" w:cs="方正小标宋_GBK"/>
          <w:b w:val="0"/>
          <w:bCs w:val="0"/>
          <w:lang w:val="en-US" w:eastAsia="zh-CN"/>
        </w:rPr>
        <w:t>2025年</w:t>
      </w:r>
    </w:p>
    <w:bookmarkEnd w:id="0"/>
    <w:p w14:paraId="5D4346F8">
      <w:pPr>
        <w:pStyle w:val="3"/>
        <w:bidi w:val="0"/>
        <w:rPr>
          <w:rFonts w:hint="default" w:ascii="方正小标宋_GBK" w:hAnsi="方正小标宋_GBK" w:cs="方正小标宋_GBK"/>
          <w:b w:val="0"/>
          <w:bCs w:val="0"/>
          <w:lang w:val="en-US" w:eastAsia="zh-CN"/>
        </w:rPr>
      </w:pPr>
      <w:r>
        <w:rPr>
          <w:rFonts w:hint="eastAsia" w:ascii="方正小标宋_GBK" w:hAnsi="方正小标宋_GBK" w:cs="方正小标宋_GBK"/>
          <w:b w:val="0"/>
          <w:bCs w:val="0"/>
          <w:lang w:val="en-US" w:eastAsia="zh-CN"/>
        </w:rPr>
        <w:t>水资源配置方案（征求意见稿）</w:t>
      </w:r>
      <w:bookmarkStart w:id="1" w:name="_GoBack"/>
      <w:bookmarkEnd w:id="1"/>
    </w:p>
    <w:p w14:paraId="54C0EF8C">
      <w:pPr>
        <w:rPr>
          <w:rFonts w:hint="eastAsia" w:ascii="仿宋" w:hAnsi="仿宋" w:eastAsia="仿宋" w:cs="仿宋"/>
          <w:lang w:val="en-US" w:eastAsia="zh-CN"/>
        </w:rPr>
      </w:pPr>
    </w:p>
    <w:p w14:paraId="4E4A255A">
      <w:pPr>
        <w:bidi w:val="0"/>
        <w:rPr>
          <w:rFonts w:hint="default" w:ascii="方正仿宋_GBK" w:hAnsi="方正仿宋_GBK" w:eastAsia="方正仿宋_GBK" w:cs="方正仿宋_GBK"/>
          <w:color w:val="auto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highlight w:val="none"/>
          <w:lang w:val="en-US" w:eastAsia="zh-CN"/>
        </w:rPr>
        <w:t>为贯彻落实党的二十大精神和习近平总书记提出的“节水优先、空间均衡、系统治理、两手发力”治水方针，扎实推动新阶段水利高质量发展，结合农高区实际，在公平公开公正、杜绝暗箱操作的基础上，紧紧围绕“节水、蓄水、调水、增水”开展水资源分配管理工作，具体分配方案如下：</w:t>
      </w:r>
    </w:p>
    <w:p w14:paraId="40FDAC2C">
      <w:pPr>
        <w:pStyle w:val="4"/>
        <w:bidi w:val="0"/>
        <w:rPr>
          <w:rFonts w:hint="default" w:ascii="Times New Roman" w:hAnsi="Times New Roman" w:eastAsia="方正黑体_GBK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highlight w:val="none"/>
          <w:lang w:val="en-US" w:eastAsia="zh-CN"/>
        </w:rPr>
        <w:t>一、2025年水量总体分配计划</w:t>
      </w:r>
    </w:p>
    <w:p w14:paraId="64603020">
      <w:pPr>
        <w:bidi w:val="0"/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根据《新疆用水总量控制方案》，结合“三水联调”、综合利用现有水资源的工作要求，农高区2025年全年计划分配水量</w:t>
      </w:r>
      <w:r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  <w:t>8647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万方</w:t>
      </w:r>
      <w:r>
        <w:rPr>
          <w:rFonts w:hint="eastAsia" w:ascii="Times New Roman" w:hAnsi="Times New Roman" w:eastAsia="方正仿宋_GBK" w:cs="Times New Roman"/>
          <w:color w:val="auto"/>
          <w:highlight w:val="none"/>
          <w:lang w:val="en-US" w:eastAsia="zh-CN"/>
        </w:rPr>
        <w:t>（包含550万方水损）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。其中，地下水控制指标量为2687万方，计划引调“500”客水5000万方、生物制造产业用水500万方，再生水60万方</w:t>
      </w:r>
      <w:r>
        <w:rPr>
          <w:rFonts w:hint="eastAsia"/>
          <w:lang w:val="en-US" w:eastAsia="zh-CN"/>
        </w:rPr>
        <w:t>，调蓄池400万方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。</w:t>
      </w:r>
    </w:p>
    <w:p w14:paraId="3F31E3AD">
      <w:pPr>
        <w:bidi w:val="0"/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  <w:t>根据用水领域划分：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生态用水1</w:t>
      </w:r>
      <w:r>
        <w:rPr>
          <w:rFonts w:hint="eastAsia"/>
          <w:lang w:val="en-US" w:eastAsia="zh-CN"/>
        </w:rPr>
        <w:t>697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万方，农业种植用水5</w:t>
      </w:r>
      <w:r>
        <w:rPr>
          <w:rFonts w:hint="eastAsia"/>
          <w:lang w:val="en-US" w:eastAsia="zh-CN"/>
        </w:rPr>
        <w:t>804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万方（地下水1706万方，客水</w:t>
      </w:r>
      <w:r>
        <w:rPr>
          <w:rFonts w:hint="eastAsia"/>
          <w:lang w:val="en-US" w:eastAsia="zh-CN"/>
        </w:rPr>
        <w:t>3698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万方</w:t>
      </w:r>
      <w:r>
        <w:rPr>
          <w:rFonts w:hint="eastAsia"/>
          <w:lang w:val="en-US" w:eastAsia="zh-CN"/>
        </w:rPr>
        <w:t>，调蓄池400万方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），畜牧养殖用水150万方，二产200万方，三产60万方，预留用水1</w:t>
      </w:r>
      <w:r>
        <w:rPr>
          <w:rFonts w:hint="eastAsia"/>
          <w:lang w:val="en-US" w:eastAsia="zh-CN"/>
        </w:rPr>
        <w:t>86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万方。</w:t>
      </w:r>
    </w:p>
    <w:p w14:paraId="403D8E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二、配水原则</w:t>
      </w:r>
    </w:p>
    <w:p w14:paraId="7DAD28DA">
      <w:pPr>
        <w:bidi w:val="0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Style w:val="18"/>
          <w:rFonts w:hint="eastAsia"/>
          <w:lang w:val="en-US" w:eastAsia="zh-CN"/>
        </w:rPr>
        <w:t>（一）定量配水原则。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在现状水资源基础上严格落实“以水定地、以水定产”，坚决不突破“三条红线水量指标”。</w:t>
      </w:r>
    </w:p>
    <w:p w14:paraId="3C4AF7F5">
      <w:pPr>
        <w:bidi w:val="0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lang w:val="en-US" w:eastAsia="zh-CN"/>
        </w:rPr>
        <w:t>1. 明确作物灌溉定额。</w:t>
      </w:r>
      <w:r>
        <w:rPr>
          <w:rFonts w:hint="default" w:ascii="Times New Roman" w:hAnsi="Times New Roman" w:eastAsia="方正仿宋_GBK" w:cs="Times New Roman"/>
          <w:lang w:val="en-US" w:eastAsia="zh-CN"/>
        </w:rPr>
        <w:t>根据《关于印发新疆用水总量控制方案的函》（新水函﹝2018﹞6号）《昌吉州用水总量控制方案》，在灌溉定额336方/亩的基础上，结合作物种植需水量及专家意见，细化亩均额定配水量（详见附件）。</w:t>
      </w:r>
    </w:p>
    <w:p w14:paraId="66682A5B">
      <w:pPr>
        <w:bidi w:val="0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lang w:val="en-US" w:eastAsia="zh-CN"/>
        </w:rPr>
        <w:t>2.明确昌吉市榆树沟镇牧业村草场地用水定额。</w:t>
      </w:r>
      <w:r>
        <w:rPr>
          <w:rFonts w:hint="eastAsia" w:ascii="方正仿宋_GBK" w:hAnsi="方正仿宋_GBK" w:eastAsia="方正仿宋_GBK" w:cs="方正仿宋_GBK"/>
          <w:lang w:val="en-US" w:eastAsia="zh-CN"/>
        </w:rPr>
        <w:t>依据《新疆维吾尔自治区实施〈中华人民共和国草原法〉办法》和与昌吉市协调对接情况，牛圈子湖区草场改良地只配给适当地下水（总面积</w:t>
      </w:r>
      <w:r>
        <w:rPr>
          <w:rFonts w:hint="default" w:ascii="Times New Roman" w:hAnsi="Times New Roman" w:eastAsia="方正仿宋_GBK" w:cs="Times New Roman"/>
          <w:lang w:val="en-US" w:eastAsia="zh-CN"/>
        </w:rPr>
        <w:t>5.5万亩，按照40%面积保障40方/亩出苗水），</w:t>
      </w:r>
      <w:r>
        <w:rPr>
          <w:rFonts w:hint="eastAsia" w:ascii="方正仿宋_GBK" w:hAnsi="方正仿宋_GBK" w:eastAsia="方正仿宋_GBK" w:cs="方正仿宋_GBK"/>
          <w:lang w:val="en-US" w:eastAsia="zh-CN"/>
        </w:rPr>
        <w:t>且不得改变草场用途，种植规定以外的作物，否则不予配水。</w:t>
      </w:r>
    </w:p>
    <w:p w14:paraId="76E0526C">
      <w:pPr>
        <w:bidi w:val="0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Style w:val="18"/>
          <w:rFonts w:hint="default"/>
          <w:lang w:val="en-US" w:eastAsia="zh-CN"/>
        </w:rPr>
        <w:t>（二）三水联调原则。</w:t>
      </w:r>
      <w:r>
        <w:rPr>
          <w:rFonts w:hint="default" w:ascii="Times New Roman" w:hAnsi="Times New Roman" w:eastAsia="方正仿宋_GBK" w:cs="Times New Roman"/>
          <w:lang w:val="en-US" w:eastAsia="zh-CN"/>
        </w:rPr>
        <w:t>严格落实“优先使用客水、充分利用中水、严格控制地下水”工作要求，</w:t>
      </w:r>
      <w:r>
        <w:rPr>
          <w:rFonts w:hint="eastAsia" w:cs="Times New Roman"/>
          <w:lang w:val="en-US" w:eastAsia="zh-CN"/>
        </w:rPr>
        <w:t>实行“客水、地下水、中水”三水联调，客水采取定量配给，地下水采取审批配给，</w:t>
      </w:r>
      <w:r>
        <w:rPr>
          <w:rFonts w:hint="default" w:ascii="Times New Roman" w:hAnsi="Times New Roman" w:eastAsia="方正仿宋_GBK" w:cs="Times New Roman"/>
          <w:lang w:val="en-US" w:eastAsia="zh-CN"/>
        </w:rPr>
        <w:t>科学引灌中水</w:t>
      </w:r>
      <w:r>
        <w:rPr>
          <w:rFonts w:hint="eastAsia" w:cs="Times New Roman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lang w:val="en-US" w:eastAsia="zh-CN"/>
        </w:rPr>
        <w:t>严防进入食物链</w:t>
      </w:r>
      <w:r>
        <w:rPr>
          <w:rFonts w:hint="eastAsia" w:cs="Times New Roman"/>
          <w:lang w:val="en-US" w:eastAsia="zh-CN"/>
        </w:rPr>
        <w:t>，农高区水资源委托农投公司市场化运营管理，进行统筹调配，推进客水、中水资源置换地下水资源。</w:t>
      </w:r>
    </w:p>
    <w:p w14:paraId="37D717FF">
      <w:pPr>
        <w:bidi w:val="0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Style w:val="18"/>
          <w:rFonts w:hint="default"/>
          <w:lang w:val="en-US" w:eastAsia="zh-CN"/>
        </w:rPr>
        <w:t>（三）优先保障原则。</w:t>
      </w:r>
      <w:r>
        <w:rPr>
          <w:rFonts w:hint="default" w:ascii="Times New Roman" w:hAnsi="Times New Roman" w:eastAsia="方正仿宋_GBK" w:cs="Times New Roman"/>
          <w:lang w:val="en-US" w:eastAsia="zh-CN"/>
        </w:rPr>
        <w:t>合理科学保障农高区基本农田灌溉用水</w:t>
      </w:r>
      <w:r>
        <w:rPr>
          <w:rFonts w:hint="eastAsia"/>
          <w:lang w:val="en-US" w:eastAsia="zh-CN"/>
        </w:rPr>
        <w:t>，优先保障生态、试验示范、产业发展和口粮地用水。</w:t>
      </w:r>
    </w:p>
    <w:p w14:paraId="6027BFB8">
      <w:pPr>
        <w:bidi w:val="0"/>
        <w:rPr>
          <w:rFonts w:hint="eastAsia" w:ascii="方正仿宋_GBK" w:hAnsi="方正仿宋_GBK" w:eastAsia="方正仿宋_GBK" w:cs="方正仿宋_GBK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lang w:val="en-US" w:eastAsia="zh-CN"/>
        </w:rPr>
        <w:t>1. 优先保障生态用水。</w:t>
      </w:r>
      <w:r>
        <w:rPr>
          <w:rFonts w:hint="default" w:ascii="Times New Roman" w:hAnsi="Times New Roman" w:eastAsia="方正仿宋_GBK" w:cs="Times New Roman"/>
          <w:lang w:val="en-US" w:eastAsia="zh-CN"/>
        </w:rPr>
        <w:t>按照灌溉定额保障林业生态用水，配给至各企业（农场）的林业生态用水应保证专水专用。依据《新疆维吾尔自治区实施〈中华人民共和国森林法〉办法》第二十四条规定，企业（农场）农田防护林面积占耕地面积不足8%的或</w:t>
      </w:r>
      <w:r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  <w:t>者无农田防护林的，核定农业种植面积时扣减应造林面积。</w:t>
      </w:r>
    </w:p>
    <w:p w14:paraId="5DBF4A2E">
      <w:pPr>
        <w:bidi w:val="0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lang w:val="en-US" w:eastAsia="zh-CN"/>
        </w:rPr>
        <w:t xml:space="preserve">2. </w:t>
      </w:r>
      <w:r>
        <w:rPr>
          <w:rFonts w:hint="default" w:ascii="Times New Roman" w:hAnsi="Times New Roman" w:eastAsia="方正仿宋_GBK" w:cs="Times New Roman"/>
          <w:b/>
          <w:bCs/>
          <w:lang w:val="en-US" w:eastAsia="zh-CN"/>
        </w:rPr>
        <w:t>优先保障试验示范用水。</w:t>
      </w:r>
      <w:r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  <w:t>将</w:t>
      </w:r>
      <w:r>
        <w:rPr>
          <w:rFonts w:hint="eastAsia" w:ascii="Times New Roman" w:hAnsi="Times New Roman" w:eastAsia="方正仿宋_GBK" w:cs="Times New Roman"/>
          <w:b w:val="0"/>
          <w:bCs w:val="0"/>
          <w:lang w:val="en-US" w:eastAsia="zh-CN"/>
        </w:rPr>
        <w:t>昌吉国家农业高新技术产业示范</w:t>
      </w:r>
      <w:r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  <w:t>区、中国农业科学院西部农业研究中心4</w:t>
      </w:r>
      <w:r>
        <w:rPr>
          <w:rFonts w:hint="default" w:ascii="Times New Roman" w:hAnsi="Times New Roman" w:eastAsia="方正仿宋_GBK" w:cs="Times New Roman"/>
          <w:lang w:val="en-US" w:eastAsia="zh-CN"/>
        </w:rPr>
        <w:t>.67万亩试验示范基地纳入保障区，制定《农投公司国有农用地发包租赁方案》，对该区域灌溉用水足额保障。</w:t>
      </w:r>
    </w:p>
    <w:p w14:paraId="707A5D30">
      <w:pPr>
        <w:bidi w:val="0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lang w:val="en-US" w:eastAsia="zh-CN"/>
        </w:rPr>
        <w:t xml:space="preserve">3. </w:t>
      </w:r>
      <w:r>
        <w:rPr>
          <w:rFonts w:hint="default" w:ascii="Times New Roman" w:hAnsi="Times New Roman" w:eastAsia="方正仿宋_GBK" w:cs="Times New Roman"/>
          <w:b/>
          <w:bCs/>
          <w:lang w:val="en-US" w:eastAsia="zh-CN"/>
        </w:rPr>
        <w:t>优先保障产业发展用水。</w:t>
      </w:r>
      <w:r>
        <w:rPr>
          <w:rFonts w:hint="default" w:ascii="Times New Roman" w:hAnsi="Times New Roman" w:eastAsia="方正仿宋_GBK" w:cs="Times New Roman"/>
          <w:lang w:val="en-US" w:eastAsia="zh-CN"/>
        </w:rPr>
        <w:t>足额保障榆泉现代农业产业示范园区、生物制造产业（水稻种植）、畜牧产业</w:t>
      </w: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>及涉农旅游等各类产业用水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，对农高区产业发展带来税收、固投突出</w:t>
      </w:r>
      <w:r>
        <w:rPr>
          <w:rFonts w:hint="default" w:ascii="Times New Roman" w:hAnsi="Times New Roman" w:cs="Times New Roman"/>
          <w:lang w:val="en-US" w:eastAsia="zh-CN"/>
        </w:rPr>
        <w:t>贡献的企业，优先保障其灌溉用水</w:t>
      </w:r>
      <w:r>
        <w:rPr>
          <w:rFonts w:hint="default" w:ascii="Times New Roman" w:hAnsi="Times New Roman" w:eastAsia="方正仿宋_GBK" w:cs="Times New Roman"/>
          <w:lang w:val="en-US" w:eastAsia="zh-CN"/>
        </w:rPr>
        <w:t>。</w:t>
      </w:r>
    </w:p>
    <w:p w14:paraId="354365C6">
      <w:pPr>
        <w:bidi w:val="0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lang w:val="en-US" w:eastAsia="zh-CN"/>
        </w:rPr>
        <w:t>4. 优先保障口粮地用水。</w:t>
      </w:r>
      <w:r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  <w:t>对涉及国有农场口粮地的企业（农场），需</w:t>
      </w:r>
      <w:r>
        <w:rPr>
          <w:rFonts w:hint="default" w:ascii="Times New Roman" w:hAnsi="Times New Roman" w:eastAsia="方正仿宋_GBK" w:cs="Times New Roman"/>
          <w:lang w:val="en-US" w:eastAsia="zh-CN"/>
        </w:rPr>
        <w:t>提供完善的土地手续和划定标准相关文件，依法核定保障其口粮地用水。</w:t>
      </w:r>
    </w:p>
    <w:p w14:paraId="2F442539"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（四）风险自担原则。</w:t>
      </w:r>
    </w:p>
    <w:p w14:paraId="2E8C6FA1">
      <w:pPr>
        <w:bidi w:val="0"/>
        <w:rPr>
          <w:rFonts w:hint="default" w:ascii="Times New Roman" w:hAnsi="Times New Roman" w:eastAsia="方正仿宋_GBK" w:cs="Times New Roman"/>
          <w:b/>
          <w:bCs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lang w:val="en-US" w:eastAsia="zh-CN"/>
        </w:rPr>
        <w:t>1. 计划内配水。</w:t>
      </w:r>
      <w:r>
        <w:rPr>
          <w:rFonts w:hint="default" w:ascii="Times New Roman" w:hAnsi="Times New Roman" w:eastAsia="方正仿宋_GBK" w:cs="Times New Roman"/>
          <w:lang w:val="en-US" w:eastAsia="zh-CN"/>
        </w:rPr>
        <w:t>以客水5000万方来水量为基准，在落实以上原则的基础上，按各企业（农场）耕地面积57%予以配给剩余水量；如客水来水量较基准配水方案降低（客水来水量小于5000万方），将按各企业（农场）耕地面积同比例核减配水；鼓励、引导企业（农场）优化种植结构，实施订单种植。</w:t>
      </w:r>
    </w:p>
    <w:p w14:paraId="6E72FB99">
      <w:pPr>
        <w:bidi w:val="0"/>
        <w:rPr>
          <w:rFonts w:hint="default" w:ascii="Times New Roman" w:hAnsi="Times New Roman" w:eastAsia="方正仿宋_GBK" w:cs="Times New Roman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lang w:val="en-US" w:eastAsia="zh-CN"/>
        </w:rPr>
        <w:t>2. 计划外增量配水。</w:t>
      </w:r>
      <w:r>
        <w:rPr>
          <w:rFonts w:hint="default" w:ascii="Times New Roman" w:hAnsi="Times New Roman" w:eastAsia="方正仿宋_GBK" w:cs="Times New Roman"/>
          <w:lang w:val="en-US" w:eastAsia="zh-CN"/>
        </w:rPr>
        <w:t>积极争取计划外水量，客水5000万方基准水量以外，来水量增加的，通过委托运营管理模式，</w:t>
      </w: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>交由</w:t>
      </w:r>
      <w:r>
        <w:rPr>
          <w:rFonts w:hint="eastAsia" w:cs="Times New Roman"/>
          <w:highlight w:val="none"/>
          <w:lang w:val="en-US" w:eastAsia="zh-CN"/>
        </w:rPr>
        <w:t>农投公司</w:t>
      </w: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>进行市场化运营管理</w:t>
      </w:r>
      <w:r>
        <w:rPr>
          <w:rFonts w:hint="eastAsia" w:cs="Times New Roman"/>
          <w:highlight w:val="none"/>
          <w:lang w:val="en-US" w:eastAsia="zh-CN"/>
        </w:rPr>
        <w:t>，农投公司要严格落实配水方案，开展调水配水工作必须做到公平公正，不能出现客水资源浪费和水土矛盾风险隐患</w:t>
      </w: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>；计划外增量来水不能作为企业（农场）自行计划种植面积的参考，根据各企业（农场）耕地面积在农高区总耕地面积占比，按月度额外来水量同比例分配，新增水量执行阶梯水价收取水费。</w:t>
      </w:r>
    </w:p>
    <w:p w14:paraId="000483FE">
      <w:pPr>
        <w:bidi w:val="0"/>
        <w:rPr>
          <w:rFonts w:hint="default" w:ascii="Times New Roman" w:hAnsi="Times New Roman" w:eastAsia="方正仿宋_GBK" w:cs="Times New Roman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>以上两种配水方式，各企业（农场）应自行评估风险，并</w:t>
      </w:r>
      <w:r>
        <w:rPr>
          <w:rFonts w:hint="eastAsia" w:cs="Times New Roman"/>
          <w:highlight w:val="none"/>
          <w:lang w:val="en-US" w:eastAsia="zh-CN"/>
        </w:rPr>
        <w:t>与农投公司</w:t>
      </w: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>签订《灌溉用水风险自担承诺书》，对不愿签订《灌溉用水风险自担承诺书》的企业（农场），按照客水</w:t>
      </w:r>
      <w:r>
        <w:rPr>
          <w:rFonts w:hint="eastAsia" w:cs="Times New Roman"/>
          <w:highlight w:val="none"/>
          <w:lang w:val="en-US" w:eastAsia="zh-CN"/>
        </w:rPr>
        <w:t>最低来水量，</w:t>
      </w: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>保障其耕地面积40%配水额。</w:t>
      </w:r>
    </w:p>
    <w:p w14:paraId="5D65D93E">
      <w:pPr>
        <w:bidi w:val="0"/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</w:pPr>
      <w:r>
        <w:rPr>
          <w:rStyle w:val="18"/>
          <w:rFonts w:hint="default"/>
          <w:highlight w:val="none"/>
          <w:lang w:val="en-US" w:eastAsia="zh-CN"/>
        </w:rPr>
        <w:t>（五）公平扣减水量原则。</w:t>
      </w: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>坚持公平公开公正配水，引导企业（农场）兴建塘坝等水利设施，地表水取水点安装智慧计量控制设施。</w:t>
      </w:r>
      <w:r>
        <w:rPr>
          <w:rFonts w:hint="eastAsia" w:ascii="Times New Roman" w:hAnsi="Times New Roman" w:eastAsia="方正仿宋_GBK" w:cs="Times New Roman"/>
          <w:highlight w:val="none"/>
          <w:lang w:val="en-US" w:eastAsia="zh-CN"/>
        </w:rPr>
        <w:t>通过民主协商</w:t>
      </w: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>推荐片区长单位+灌区末端企业（农场）作为渠长成立用水协会，推进用水自治管理，对经核查属实的违规行为，落实扣减分配水量处罚原则。</w:t>
      </w:r>
    </w:p>
    <w:p w14:paraId="2CE069EC">
      <w:pPr>
        <w:bidi w:val="0"/>
        <w:rPr>
          <w:rFonts w:hint="default" w:ascii="Times New Roman" w:hAnsi="Times New Roman" w:eastAsia="方正仿宋_GBK" w:cs="Times New Roman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highlight w:val="none"/>
          <w:lang w:val="en-US" w:eastAsia="zh-CN"/>
        </w:rPr>
        <w:t>1. 落实生态用水监管。</w:t>
      </w: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>制定《生态用水灌溉监管办法》，明确生态用水配水时间、配水水量、监督责任等，由现代农业发展局对每轮生态用水灌溉情况进行监督核实、现场反馈，对未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按要求开展生态灌溉并查实的，在全灌区予以通报，次轮农业灌溉配水时，按照单次生态用水量的2倍予以扣减</w:t>
      </w: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>。</w:t>
      </w:r>
    </w:p>
    <w:p w14:paraId="51E0ED29">
      <w:pPr>
        <w:bidi w:val="0"/>
        <w:rPr>
          <w:rFonts w:hint="default" w:ascii="Times New Roman" w:hAnsi="Times New Roman" w:eastAsia="方正仿宋_GBK" w:cs="Times New Roman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highlight w:val="none"/>
          <w:lang w:val="en-US" w:eastAsia="zh-CN"/>
        </w:rPr>
        <w:t>2. 落实用水自治。</w:t>
      </w: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>发挥用水协会作用，由用水协会牵头各会员单位签订《用水协会自治公约》，成立巡查值班小组，对偷水、挪水、超计划用水进行巡查通报并</w:t>
      </w:r>
      <w:r>
        <w:rPr>
          <w:rFonts w:hint="eastAsia" w:cs="Times New Roman"/>
          <w:highlight w:val="none"/>
          <w:lang w:val="en-US" w:eastAsia="zh-CN"/>
        </w:rPr>
        <w:t>依法进行查处</w:t>
      </w: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>，凡经2次通报并查实的用水户，扣除次月计划内客水水量的20%。</w:t>
      </w:r>
    </w:p>
    <w:p w14:paraId="289445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三、工作要求</w:t>
      </w:r>
    </w:p>
    <w:p w14:paraId="7BCB374C">
      <w:pPr>
        <w:bidi w:val="0"/>
        <w:rPr>
          <w:rFonts w:hint="eastAsia" w:ascii="方正仿宋_GBK" w:hAnsi="方正仿宋_GBK" w:eastAsia="方正仿宋_GBK" w:cs="方正仿宋_GBK"/>
          <w:highlight w:val="none"/>
          <w:lang w:val="en-US" w:eastAsia="zh-CN"/>
        </w:rPr>
      </w:pPr>
      <w:r>
        <w:rPr>
          <w:rStyle w:val="18"/>
          <w:rFonts w:hint="eastAsia"/>
          <w:highlight w:val="none"/>
          <w:lang w:val="en-US" w:eastAsia="zh-CN"/>
        </w:rPr>
        <w:t>（一）加强组织领导。</w:t>
      </w:r>
      <w:r>
        <w:rPr>
          <w:rFonts w:hint="eastAsia" w:ascii="方正仿宋_GBK" w:hAnsi="方正仿宋_GBK" w:eastAsia="方正仿宋_GBK" w:cs="方正仿宋_GBK"/>
          <w:highlight w:val="none"/>
          <w:lang w:val="en-US" w:eastAsia="zh-CN"/>
        </w:rPr>
        <w:t>坚持农高区党工委的统一领导，由分管领导牵头，现代农业发展局、财政局、经济发展局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>、农投公司等</w:t>
      </w:r>
      <w:r>
        <w:rPr>
          <w:rFonts w:hint="eastAsia" w:ascii="方正仿宋_GBK" w:hAnsi="方正仿宋_GBK" w:eastAsia="方正仿宋_GBK" w:cs="方正仿宋_GBK"/>
          <w:highlight w:val="none"/>
          <w:lang w:val="en-US" w:eastAsia="zh-CN"/>
        </w:rPr>
        <w:t>单位协调配合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>，联动做好辖区内水资源运营管理工作</w:t>
      </w:r>
      <w:r>
        <w:rPr>
          <w:rFonts w:hint="eastAsia" w:ascii="方正仿宋_GBK" w:hAnsi="方正仿宋_GBK" w:eastAsia="方正仿宋_GBK" w:cs="方正仿宋_GBK"/>
          <w:highlight w:val="none"/>
          <w:lang w:val="en-US" w:eastAsia="zh-CN"/>
        </w:rPr>
        <w:t>。</w:t>
      </w:r>
    </w:p>
    <w:p w14:paraId="4368D0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Style w:val="18"/>
          <w:rFonts w:hint="eastAsia"/>
          <w:highlight w:val="none"/>
          <w:lang w:val="en-US" w:eastAsia="zh-CN"/>
        </w:rPr>
        <w:t>（二）压实工作责任。</w:t>
      </w:r>
      <w:r>
        <w:rPr>
          <w:rFonts w:hint="eastAsia" w:ascii="方正仿宋_GBK" w:hAnsi="方正仿宋_GBK" w:eastAsia="方正仿宋_GBK" w:cs="方正仿宋_GBK"/>
          <w:highlight w:val="none"/>
          <w:lang w:val="en-US" w:eastAsia="zh-CN"/>
        </w:rPr>
        <w:t>现代农业发展局负责农高区—老龙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河·牛圈子湖现代农业科技示范区生活、生产经营和生态环境用水的统筹和保障，拟定农高区年度水量分配方案，对农高区年度用水实行总量控制，定额管理并组织实施；负责与</w:t>
      </w:r>
      <w:r>
        <w:rPr>
          <w:rFonts w:hint="eastAsia" w:ascii="方正仿宋_GBK" w:hAnsi="方正仿宋_GBK" w:cs="方正仿宋_GBK"/>
          <w:lang w:val="en-US" w:eastAsia="zh-CN"/>
        </w:rPr>
        <w:t>昌吉州水利管理总站</w:t>
      </w:r>
      <w:r>
        <w:rPr>
          <w:rFonts w:hint="eastAsia" w:ascii="方正仿宋_GBK" w:hAnsi="方正仿宋_GBK" w:eastAsia="方正仿宋_GBK" w:cs="方正仿宋_GBK"/>
          <w:lang w:val="en-US" w:eastAsia="zh-CN"/>
        </w:rPr>
        <w:t>签订年客水供给协议，实施水资源的统一监督管理，联动昌吉州、昌吉市水利部门组织实施水政监察和水行政执法。经济发展局组织做好榆泉现代农业产业示范园区用水管理、节水型企业创建等工作。农投公司负责做好农高区水利设施设备的维护、管理。更新完善辖区内渠系、闸口取水计量设备，协助现代农业发展局做好用水户取水的监督管理，负责水资源的运营管理，确保客水水费、地下水水资源费应收尽收。</w:t>
      </w:r>
    </w:p>
    <w:p w14:paraId="3B3F4EE3">
      <w:pPr>
        <w:bidi w:val="0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Style w:val="18"/>
          <w:rFonts w:hint="eastAsia"/>
          <w:lang w:val="en-US" w:eastAsia="zh-CN"/>
        </w:rPr>
        <w:t>三、</w:t>
      </w:r>
      <w:r>
        <w:rPr>
          <w:rStyle w:val="18"/>
          <w:rFonts w:hint="default"/>
          <w:lang w:val="en-US" w:eastAsia="zh-CN"/>
        </w:rPr>
        <w:t>强化</w:t>
      </w:r>
      <w:r>
        <w:rPr>
          <w:rStyle w:val="18"/>
          <w:rFonts w:hint="eastAsia"/>
          <w:lang w:val="en-US" w:eastAsia="zh-CN"/>
        </w:rPr>
        <w:t>监督管理</w:t>
      </w:r>
      <w:r>
        <w:rPr>
          <w:rStyle w:val="18"/>
          <w:rFonts w:hint="default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lang w:val="en-US" w:eastAsia="zh-CN"/>
        </w:rPr>
        <w:t>由现代农业发展局落实行政管理责任，农投公司根据现代农业发展局配水方案和指导意见，具体落实农高区灌溉用水的日常服务管理。</w:t>
      </w:r>
      <w:r>
        <w:rPr>
          <w:rFonts w:hint="eastAsia" w:ascii="方正仿宋_GBK" w:hAnsi="方正仿宋_GBK" w:eastAsia="方正仿宋_GBK" w:cs="方正仿宋_GBK"/>
          <w:lang w:val="en-US" w:eastAsia="zh-CN"/>
        </w:rPr>
        <w:t>现代农业发展局每月对农投公司落实日常工作情况进行抽检，发现违规违纪情况，及时收集证据并反馈农投公司，追究相应责任人的责任。</w:t>
      </w:r>
    </w:p>
    <w:p w14:paraId="48891DF7">
      <w:pPr>
        <w:bidi w:val="0"/>
        <w:rPr>
          <w:rFonts w:hint="default" w:ascii="Times New Roman" w:hAnsi="Times New Roman" w:eastAsia="仿宋" w:cs="Times New Roman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>昌吉国家农高区2025年客水来水量，最终由昌吉回族自治州水利管理总站、“500”建管局等机构确定，本配水方案拟定的客水来水量存在不确定性，各企业（农场）应自行评估、承担风险。如有本方案未约定的情形，由农高区管委会按照“一事一议”原则，研究予以解决。</w:t>
      </w:r>
    </w:p>
    <w:p w14:paraId="3A43CCF1">
      <w:pPr>
        <w:pStyle w:val="2"/>
        <w:rPr>
          <w:rFonts w:hint="default" w:ascii="Times New Roman" w:hAnsi="Times New Roman" w:eastAsia="仿宋" w:cs="Times New Roman"/>
          <w:lang w:val="en-US" w:eastAsia="zh-CN"/>
        </w:rPr>
      </w:pPr>
    </w:p>
    <w:p w14:paraId="36500F87">
      <w:pPr>
        <w:rPr>
          <w:rFonts w:hint="default" w:ascii="Times New Roman" w:hAnsi="Times New Roman" w:eastAsia="仿宋" w:cs="Times New Roman"/>
          <w:lang w:val="en-US" w:eastAsia="zh-CN"/>
        </w:rPr>
      </w:pPr>
    </w:p>
    <w:p w14:paraId="25BEE9E1">
      <w:pPr>
        <w:pStyle w:val="2"/>
        <w:rPr>
          <w:rFonts w:hint="default" w:ascii="Times New Roman" w:hAnsi="Times New Roman" w:eastAsia="仿宋" w:cs="Times New Roman"/>
          <w:lang w:val="en-US" w:eastAsia="zh-CN"/>
        </w:rPr>
      </w:pPr>
    </w:p>
    <w:p w14:paraId="66A8FE2A">
      <w:pPr>
        <w:rPr>
          <w:rFonts w:hint="default" w:ascii="Times New Roman" w:hAnsi="Times New Roman" w:eastAsia="仿宋" w:cs="Times New Roman"/>
          <w:lang w:val="en-US" w:eastAsia="zh-CN"/>
        </w:rPr>
      </w:pPr>
    </w:p>
    <w:p w14:paraId="0287583F">
      <w:pPr>
        <w:pStyle w:val="2"/>
        <w:rPr>
          <w:rFonts w:hint="default" w:ascii="Times New Roman" w:hAnsi="Times New Roman" w:eastAsia="仿宋" w:cs="Times New Roman"/>
          <w:lang w:val="en-US" w:eastAsia="zh-CN"/>
        </w:rPr>
      </w:pPr>
    </w:p>
    <w:p w14:paraId="6BB499EA">
      <w:pPr>
        <w:rPr>
          <w:rFonts w:hint="default" w:ascii="Times New Roman" w:hAnsi="Times New Roman" w:eastAsia="仿宋" w:cs="Times New Roman"/>
          <w:lang w:val="en-US" w:eastAsia="zh-CN"/>
        </w:rPr>
      </w:pPr>
    </w:p>
    <w:p w14:paraId="41FFA49E">
      <w:pPr>
        <w:pStyle w:val="2"/>
        <w:rPr>
          <w:rFonts w:hint="default" w:ascii="Times New Roman" w:hAnsi="Times New Roman" w:eastAsia="仿宋" w:cs="Times New Roman"/>
          <w:lang w:val="en-US" w:eastAsia="zh-CN"/>
        </w:rPr>
      </w:pPr>
    </w:p>
    <w:p w14:paraId="31BDFE50">
      <w:pPr>
        <w:rPr>
          <w:rFonts w:hint="default" w:ascii="Times New Roman" w:hAnsi="Times New Roman" w:eastAsia="仿宋" w:cs="Times New Roman"/>
          <w:lang w:val="en-US" w:eastAsia="zh-CN"/>
        </w:rPr>
      </w:pPr>
    </w:p>
    <w:p w14:paraId="0694A647">
      <w:pPr>
        <w:pStyle w:val="2"/>
        <w:rPr>
          <w:rFonts w:hint="default" w:ascii="Times New Roman" w:hAnsi="Times New Roman" w:eastAsia="仿宋" w:cs="Times New Roman"/>
          <w:lang w:val="en-US" w:eastAsia="zh-CN"/>
        </w:rPr>
      </w:pPr>
    </w:p>
    <w:p w14:paraId="51C84F12">
      <w:pPr>
        <w:ind w:left="0" w:leftChars="0" w:firstLine="0" w:firstLineChars="0"/>
        <w:rPr>
          <w:rFonts w:hint="default" w:ascii="Times New Roman" w:hAnsi="Times New Roman" w:eastAsia="仿宋" w:cs="Times New Roman"/>
          <w:lang w:val="en-US" w:eastAsia="zh-CN"/>
        </w:rPr>
      </w:pPr>
    </w:p>
    <w:p w14:paraId="535CE83B">
      <w:pPr>
        <w:bidi w:val="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附件：</w:t>
      </w:r>
    </w:p>
    <w:p w14:paraId="2A1C4E4F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outlineLvl w:val="2"/>
        <w:rPr>
          <w:rFonts w:hint="eastAsia" w:ascii="Arial" w:hAnsi="Arial" w:eastAsia="方正黑体_GBK" w:cs="Arial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40"/>
          <w:lang w:val="en-US" w:eastAsia="zh-CN" w:bidi="ar-SA"/>
        </w:rPr>
        <w:t>农业种植作物灌溉定额（不含地表水损耗）</w:t>
      </w:r>
    </w:p>
    <w:tbl>
      <w:tblPr>
        <w:tblStyle w:val="14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562"/>
        <w:gridCol w:w="2265"/>
        <w:gridCol w:w="2763"/>
      </w:tblGrid>
      <w:tr w14:paraId="54D9C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01C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E6C02">
            <w:pPr>
              <w:keepNext w:val="0"/>
              <w:keepLines w:val="0"/>
              <w:widowControl/>
              <w:suppressLineNumbers w:val="0"/>
              <w:ind w:firstLine="723" w:firstLineChars="3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作物类别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134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灌溉定额（方/亩）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E827C">
            <w:pPr>
              <w:keepNext w:val="0"/>
              <w:keepLines w:val="0"/>
              <w:widowControl/>
              <w:suppressLineNumbers w:val="0"/>
              <w:ind w:firstLine="964" w:firstLineChars="4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 注</w:t>
            </w:r>
          </w:p>
        </w:tc>
      </w:tr>
      <w:tr w14:paraId="00584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78B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3A7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棉花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E3C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D663A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5DD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071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E28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C37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C0F58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3E5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6C3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D6F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辣椒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B05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F733D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76A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348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560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青贮、籽粒玉米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8B1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0E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210" w:firstLineChars="10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无膜种植</w:t>
            </w:r>
            <w:r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配给40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0方/亩</w:t>
            </w:r>
            <w:r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（限农高区制定的2000亩示范范围内）</w:t>
            </w:r>
          </w:p>
        </w:tc>
      </w:tr>
      <w:tr w14:paraId="3F923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022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400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番茄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BCF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0693C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D4B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60E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BA2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AC7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7CC8D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43E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ADC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FCE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8C4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16025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26B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A26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3BD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9FF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B4BD1"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96C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679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977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其他特色作物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B4F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48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auto"/>
              <w:outlineLvl w:val="1"/>
              <w:rPr>
                <w:rStyle w:val="15"/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5"/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参照用水总量控制方案中下达的农高区农业综合灌溉定额</w:t>
            </w:r>
          </w:p>
        </w:tc>
      </w:tr>
    </w:tbl>
    <w:p w14:paraId="12BBAA5D">
      <w:pPr>
        <w:bidi w:val="0"/>
        <w:ind w:left="0" w:leftChars="0" w:firstLine="0" w:firstLineChars="0"/>
        <w:rPr>
          <w:rFonts w:hint="default"/>
          <w:lang w:val="en-US" w:eastAsia="zh-CN"/>
        </w:rPr>
      </w:pPr>
    </w:p>
    <w:p w14:paraId="6D2E4FA6">
      <w:pPr>
        <w:keepNext/>
        <w:keepLines/>
        <w:widowControl w:val="0"/>
        <w:spacing w:before="100" w:beforeLines="100" w:line="500" w:lineRule="exact"/>
        <w:ind w:firstLine="0" w:firstLineChars="0"/>
        <w:jc w:val="center"/>
        <w:outlineLvl w:val="2"/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32"/>
          <w:szCs w:val="40"/>
          <w:lang w:val="en-US" w:eastAsia="zh-CN" w:bidi="ar-SA"/>
        </w:rPr>
        <w:t>林业灌溉定额（不含地表水损耗）</w:t>
      </w:r>
    </w:p>
    <w:tbl>
      <w:tblPr>
        <w:tblStyle w:val="14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562"/>
        <w:gridCol w:w="2265"/>
        <w:gridCol w:w="2763"/>
      </w:tblGrid>
      <w:tr w14:paraId="5FAF0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54B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7FE1F">
            <w:pPr>
              <w:keepNext w:val="0"/>
              <w:keepLines w:val="0"/>
              <w:widowControl/>
              <w:suppressLineNumbers w:val="0"/>
              <w:ind w:firstLine="723" w:firstLineChars="3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林木类别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39A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灌溉定额（方/亩）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9CFD1">
            <w:pPr>
              <w:keepNext w:val="0"/>
              <w:keepLines w:val="0"/>
              <w:widowControl/>
              <w:suppressLineNumbers w:val="0"/>
              <w:ind w:firstLine="964" w:firstLineChars="4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 注</w:t>
            </w:r>
          </w:p>
        </w:tc>
      </w:tr>
      <w:tr w14:paraId="43A34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22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9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文冠果、沙棘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4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28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按规发展产业化的支持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方/亩，其余的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方/亩</w:t>
            </w:r>
          </w:p>
        </w:tc>
      </w:tr>
      <w:tr w14:paraId="2F9B7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8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B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红柳、梭梭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8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461A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DCF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8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52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生态林、防护林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2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2646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3D6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5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8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经济林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7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DB199">
            <w:pPr>
              <w:keepNext w:val="0"/>
              <w:keepLines w:val="0"/>
              <w:widowControl/>
              <w:suppressLineNumbers w:val="0"/>
              <w:ind w:left="0" w:leftChars="0" w:firstLine="210" w:firstLineChars="1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挂果后按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方/亩分配</w:t>
            </w:r>
          </w:p>
        </w:tc>
      </w:tr>
      <w:tr w14:paraId="16586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4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A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多年生苗圃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7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0959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36BE8B1B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701" w:right="1531" w:bottom="1531" w:left="1531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71787">
    <w:pPr>
      <w:pStyle w:val="11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1AF018">
                          <w:pPr>
                            <w:pStyle w:val="11"/>
                            <w:rPr>
                              <w:rFonts w:hint="eastAsia" w:asciiTheme="majorEastAsia" w:hAnsiTheme="majorEastAsia" w:eastAsiaTheme="majorEastAsia" w:cstheme="majorEastAsia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1AF018">
                    <w:pPr>
                      <w:pStyle w:val="11"/>
                      <w:rPr>
                        <w:rFonts w:hint="eastAsia" w:asciiTheme="majorEastAsia" w:hAnsiTheme="majorEastAsia" w:eastAsiaTheme="majorEastAsia" w:cstheme="majorEastAsia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Mjk0ZjE4ODIyYzc2ZjhkOWIwZmE1YjVkZTc2MWUifQ=="/>
  </w:docVars>
  <w:rsids>
    <w:rsidRoot w:val="00000000"/>
    <w:rsid w:val="0660638C"/>
    <w:rsid w:val="082D18F6"/>
    <w:rsid w:val="08E338D0"/>
    <w:rsid w:val="09406A8E"/>
    <w:rsid w:val="097A57C8"/>
    <w:rsid w:val="09E520AC"/>
    <w:rsid w:val="0BAD3E9B"/>
    <w:rsid w:val="0C2D6C4C"/>
    <w:rsid w:val="0C2E4536"/>
    <w:rsid w:val="0C3636F9"/>
    <w:rsid w:val="0D3A0147"/>
    <w:rsid w:val="0E675A84"/>
    <w:rsid w:val="0EE27E83"/>
    <w:rsid w:val="0FD40CED"/>
    <w:rsid w:val="111871E7"/>
    <w:rsid w:val="114F36FD"/>
    <w:rsid w:val="11F300D2"/>
    <w:rsid w:val="1302733D"/>
    <w:rsid w:val="13C80C24"/>
    <w:rsid w:val="149D517D"/>
    <w:rsid w:val="16C77D29"/>
    <w:rsid w:val="1A250AC6"/>
    <w:rsid w:val="1A7404AD"/>
    <w:rsid w:val="1AA8399A"/>
    <w:rsid w:val="1AEF5CC7"/>
    <w:rsid w:val="1B5F1A76"/>
    <w:rsid w:val="1B78249E"/>
    <w:rsid w:val="1C095314"/>
    <w:rsid w:val="1C2D3430"/>
    <w:rsid w:val="1C4F5475"/>
    <w:rsid w:val="1D823954"/>
    <w:rsid w:val="214A46C6"/>
    <w:rsid w:val="232D07CA"/>
    <w:rsid w:val="26072939"/>
    <w:rsid w:val="262A4C2B"/>
    <w:rsid w:val="275F3658"/>
    <w:rsid w:val="27A50B02"/>
    <w:rsid w:val="28E24AEF"/>
    <w:rsid w:val="2B2C1E78"/>
    <w:rsid w:val="2B6C6E97"/>
    <w:rsid w:val="2CBC693A"/>
    <w:rsid w:val="2CDD1A3D"/>
    <w:rsid w:val="2DB374D5"/>
    <w:rsid w:val="2DFA71D5"/>
    <w:rsid w:val="2E463086"/>
    <w:rsid w:val="2E796385"/>
    <w:rsid w:val="2F54489C"/>
    <w:rsid w:val="2F9608AC"/>
    <w:rsid w:val="30020DE7"/>
    <w:rsid w:val="30801564"/>
    <w:rsid w:val="314A19EB"/>
    <w:rsid w:val="32D34D64"/>
    <w:rsid w:val="331E0CCD"/>
    <w:rsid w:val="348B7E63"/>
    <w:rsid w:val="357D0B54"/>
    <w:rsid w:val="357F11D1"/>
    <w:rsid w:val="36944176"/>
    <w:rsid w:val="37A814DE"/>
    <w:rsid w:val="38485C6D"/>
    <w:rsid w:val="38BE44B4"/>
    <w:rsid w:val="3B6D2F8D"/>
    <w:rsid w:val="3D25685A"/>
    <w:rsid w:val="3FBC7C3B"/>
    <w:rsid w:val="405C53B6"/>
    <w:rsid w:val="406F775C"/>
    <w:rsid w:val="42235CC7"/>
    <w:rsid w:val="422E0FAB"/>
    <w:rsid w:val="44AD310E"/>
    <w:rsid w:val="46FB6970"/>
    <w:rsid w:val="4719090C"/>
    <w:rsid w:val="4769754F"/>
    <w:rsid w:val="47943B09"/>
    <w:rsid w:val="49034F2A"/>
    <w:rsid w:val="49CB161A"/>
    <w:rsid w:val="4AE70A97"/>
    <w:rsid w:val="4D6E2C5C"/>
    <w:rsid w:val="4E264E0B"/>
    <w:rsid w:val="513103D9"/>
    <w:rsid w:val="52820A8B"/>
    <w:rsid w:val="54B63483"/>
    <w:rsid w:val="557D3A05"/>
    <w:rsid w:val="5712043A"/>
    <w:rsid w:val="58BB0663"/>
    <w:rsid w:val="5A10169E"/>
    <w:rsid w:val="5AF52083"/>
    <w:rsid w:val="5B002981"/>
    <w:rsid w:val="5C9D77D0"/>
    <w:rsid w:val="5DA44C0E"/>
    <w:rsid w:val="5EDF420E"/>
    <w:rsid w:val="5EE2064B"/>
    <w:rsid w:val="5EF80391"/>
    <w:rsid w:val="61A7472D"/>
    <w:rsid w:val="62522A10"/>
    <w:rsid w:val="638C2FB9"/>
    <w:rsid w:val="641965F8"/>
    <w:rsid w:val="654A4940"/>
    <w:rsid w:val="65DC1DF4"/>
    <w:rsid w:val="69D62222"/>
    <w:rsid w:val="6C287C1B"/>
    <w:rsid w:val="6CCB4D19"/>
    <w:rsid w:val="6D5B6902"/>
    <w:rsid w:val="6EA17290"/>
    <w:rsid w:val="6EF625D0"/>
    <w:rsid w:val="701D144F"/>
    <w:rsid w:val="71404272"/>
    <w:rsid w:val="718957FC"/>
    <w:rsid w:val="72B879B6"/>
    <w:rsid w:val="72BA3539"/>
    <w:rsid w:val="742C3763"/>
    <w:rsid w:val="769446B1"/>
    <w:rsid w:val="78354785"/>
    <w:rsid w:val="783E2E08"/>
    <w:rsid w:val="79377764"/>
    <w:rsid w:val="799F47CE"/>
    <w:rsid w:val="79D92F7B"/>
    <w:rsid w:val="7A881CAC"/>
    <w:rsid w:val="7BEC022D"/>
    <w:rsid w:val="7C2E025D"/>
    <w:rsid w:val="7C524ADE"/>
    <w:rsid w:val="7D066AA6"/>
    <w:rsid w:val="7EF4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756" w:firstLineChars="20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_GBK" w:cs="Times New Roman"/>
      <w:kern w:val="44"/>
      <w:sz w:val="44"/>
    </w:rPr>
  </w:style>
  <w:style w:type="paragraph" w:styleId="4">
    <w:name w:val="heading 2"/>
    <w:basedOn w:val="1"/>
    <w:next w:val="1"/>
    <w:link w:val="17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00" w:firstLineChars="200"/>
      <w:outlineLvl w:val="1"/>
    </w:pPr>
    <w:rPr>
      <w:rFonts w:ascii="Times New Roman" w:hAnsi="Times New Roman" w:eastAsia="方正黑体_GBK"/>
    </w:rPr>
  </w:style>
  <w:style w:type="paragraph" w:styleId="5">
    <w:name w:val="heading 3"/>
    <w:basedOn w:val="1"/>
    <w:next w:val="1"/>
    <w:link w:val="18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outlineLvl w:val="2"/>
    </w:pPr>
    <w:rPr>
      <w:rFonts w:ascii="Times New Roman" w:hAnsi="Times New Roman" w:eastAsia="方正楷体_GBK" w:cs="Times New Roman"/>
      <w:sz w:val="32"/>
      <w:szCs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left"/>
      <w:outlineLvl w:val="3"/>
    </w:pPr>
    <w:rPr>
      <w:rFonts w:ascii="Times New Roman" w:hAnsi="Times New Roman"/>
      <w:sz w:val="32"/>
      <w:szCs w:val="32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outlineLvl w:val="4"/>
    </w:pPr>
    <w:rPr>
      <w:rFonts w:ascii="Times New Roman" w:hAnsi="Times New Roman"/>
      <w:b/>
      <w:sz w:val="28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rPr>
      <w:rFonts w:eastAsia="宋体"/>
      <w:spacing w:val="-8"/>
      <w:szCs w:val="36"/>
    </w:rPr>
  </w:style>
  <w:style w:type="paragraph" w:styleId="8">
    <w:name w:val="Document Map"/>
    <w:basedOn w:val="1"/>
    <w:qFormat/>
    <w:uiPriority w:val="0"/>
    <w:pPr>
      <w:shd w:val="clear" w:color="auto" w:fill="000080"/>
      <w:spacing w:line="240" w:lineRule="auto"/>
      <w:ind w:firstLine="0" w:firstLineChars="0"/>
    </w:pPr>
    <w:rPr>
      <w:sz w:val="28"/>
    </w:rPr>
  </w:style>
  <w:style w:type="paragraph" w:styleId="9">
    <w:name w:val="Body Text"/>
    <w:basedOn w:val="1"/>
    <w:next w:val="10"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10">
    <w:name w:val="Body Text 2"/>
    <w:basedOn w:val="1"/>
    <w:unhideWhenUsed/>
    <w:qFormat/>
    <w:uiPriority w:val="99"/>
    <w:pPr>
      <w:spacing w:after="120" w:line="480" w:lineRule="auto"/>
    </w:p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Times New Roman" w:hAnsi="Times New Roman"/>
      <w:sz w:val="24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标题 1 Char"/>
    <w:link w:val="3"/>
    <w:qFormat/>
    <w:uiPriority w:val="0"/>
    <w:rPr>
      <w:rFonts w:ascii="Times New Roman" w:hAnsi="Times New Roman" w:eastAsia="方正小标宋_GBK" w:cs="Times New Roman"/>
      <w:kern w:val="44"/>
      <w:sz w:val="44"/>
    </w:rPr>
  </w:style>
  <w:style w:type="character" w:customStyle="1" w:styleId="17">
    <w:name w:val="标题 2 Char"/>
    <w:link w:val="4"/>
    <w:qFormat/>
    <w:uiPriority w:val="0"/>
    <w:rPr>
      <w:rFonts w:ascii="Times New Roman" w:hAnsi="Times New Roman" w:eastAsia="方正黑体_GBK" w:cs="Times New Roman"/>
      <w:sz w:val="32"/>
    </w:rPr>
  </w:style>
  <w:style w:type="character" w:customStyle="1" w:styleId="18">
    <w:name w:val="标题 3 Char"/>
    <w:link w:val="5"/>
    <w:qFormat/>
    <w:uiPriority w:val="0"/>
    <w:rPr>
      <w:rFonts w:ascii="Times New Roman" w:hAnsi="Times New Roman" w:eastAsia="方正楷体_GBK" w:cs="Times New Roman"/>
      <w:sz w:val="32"/>
    </w:rPr>
  </w:style>
  <w:style w:type="paragraph" w:customStyle="1" w:styleId="19">
    <w:name w:val="打印"/>
    <w:basedOn w:val="1"/>
    <w:qFormat/>
    <w:uiPriority w:val="0"/>
    <w:pPr>
      <w:keepNext/>
      <w:keepLines/>
      <w:spacing w:beforeLines="0" w:afterLines="0" w:line="240" w:lineRule="auto"/>
      <w:ind w:firstLine="0" w:firstLineChars="0"/>
      <w:jc w:val="left"/>
      <w:outlineLvl w:val="0"/>
    </w:pPr>
    <w:rPr>
      <w:rFonts w:hint="eastAsia" w:ascii="Times New Roman" w:hAnsi="Times New Roman" w:eastAsia="方正小标宋_GBK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2873</Words>
  <Characters>3009</Characters>
  <Lines>0</Lines>
  <Paragraphs>0</Paragraphs>
  <TotalTime>29</TotalTime>
  <ScaleCrop>false</ScaleCrop>
  <LinksUpToDate>false</LinksUpToDate>
  <CharactersWithSpaces>3024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2023-03-20T08:24:00Z</dcterms:created>
  <dc:creator>Administrator</dc:creator>
  <cp:lastModifiedBy>郭华忠</cp:lastModifiedBy>
  <dcterms:modified xsi:type="dcterms:W3CDTF">2024-10-25T02:36:47Z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1251A17FD9C44F97BD361FF47C361B25_13</vt:lpwstr>
  </property>
</Properties>
</file>