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Layout w:type="autofit"/>
        <w:tblCellMar>
          <w:top w:w="0" w:type="dxa"/>
          <w:left w:w="108" w:type="dxa"/>
          <w:bottom w:w="0" w:type="dxa"/>
          <w:right w:w="108" w:type="dxa"/>
        </w:tblCellMar>
      </w:tblPr>
      <w:tblGrid>
        <w:gridCol w:w="9173"/>
      </w:tblGrid>
      <w:tr w14:paraId="31AA1C77">
        <w:tblPrEx>
          <w:tblCellMar>
            <w:top w:w="0" w:type="dxa"/>
            <w:left w:w="108" w:type="dxa"/>
            <w:bottom w:w="0" w:type="dxa"/>
            <w:right w:w="108" w:type="dxa"/>
          </w:tblCellMar>
        </w:tblPrEx>
        <w:trPr>
          <w:trHeight w:val="1085" w:hRule="atLeast"/>
        </w:trPr>
        <w:tc>
          <w:tcPr>
            <w:tcW w:w="9173" w:type="dxa"/>
          </w:tcPr>
          <w:p w14:paraId="0427F852">
            <w:pPr>
              <w:spacing w:line="360" w:lineRule="auto"/>
              <w:jc w:val="center"/>
              <w:rPr>
                <w:rFonts w:ascii="黑体" w:hAnsi="宋体" w:eastAsia="黑体"/>
                <w:spacing w:val="20"/>
                <w:w w:val="105"/>
                <w:sz w:val="48"/>
                <w:szCs w:val="48"/>
              </w:rPr>
            </w:pPr>
            <w:r>
              <w:pict>
                <v:line id="直接连接符 3" o:spid="_x0000_s2050" o:spt="20" style="position:absolute;left:0pt;flip:y;margin-left:4.15pt;margin-top:40.6pt;height:0pt;width:439.35pt;z-index:251659264;mso-width-relative:page;mso-height-relative:page;" coordsize="21600,21600">
                  <v:path arrowok="t"/>
                  <v:fill focussize="0,0"/>
                  <v:stroke weight="1.25pt"/>
                  <v:imagedata o:title=""/>
                  <o:lock v:ext="edit"/>
                </v:line>
              </w:pict>
            </w:r>
            <w:r>
              <w:rPr>
                <w:rFonts w:hint="eastAsia" w:ascii="黑体" w:hAnsi="宋体" w:eastAsia="黑体"/>
                <w:spacing w:val="20"/>
                <w:w w:val="105"/>
                <w:sz w:val="48"/>
                <w:szCs w:val="48"/>
              </w:rPr>
              <w:t>产品质量监督抽查实施细则</w:t>
            </w:r>
          </w:p>
        </w:tc>
      </w:tr>
    </w:tbl>
    <w:p w14:paraId="69ACD7B0">
      <w:pPr>
        <w:adjustRightInd w:val="0"/>
        <w:spacing w:line="480" w:lineRule="exact"/>
        <w:jc w:val="center"/>
        <w:rPr>
          <w:rFonts w:ascii="黑体" w:hAnsi="宋体" w:eastAsia="黑体"/>
          <w:b/>
          <w:sz w:val="52"/>
          <w:szCs w:val="52"/>
        </w:rPr>
      </w:pPr>
    </w:p>
    <w:p w14:paraId="086EE0A2">
      <w:pPr>
        <w:adjustRightInd w:val="0"/>
        <w:spacing w:line="480" w:lineRule="exact"/>
        <w:jc w:val="center"/>
        <w:rPr>
          <w:rFonts w:ascii="黑体" w:hAnsi="宋体" w:eastAsia="黑体"/>
          <w:b/>
          <w:sz w:val="52"/>
          <w:szCs w:val="52"/>
        </w:rPr>
      </w:pPr>
    </w:p>
    <w:p w14:paraId="74B68C4D">
      <w:pPr>
        <w:adjustRightInd w:val="0"/>
        <w:spacing w:line="480" w:lineRule="exact"/>
        <w:jc w:val="center"/>
        <w:rPr>
          <w:rFonts w:ascii="黑体" w:hAnsi="宋体" w:eastAsia="黑体"/>
          <w:b/>
          <w:sz w:val="52"/>
          <w:szCs w:val="52"/>
        </w:rPr>
      </w:pPr>
    </w:p>
    <w:p w14:paraId="001602A2">
      <w:pPr>
        <w:adjustRightInd w:val="0"/>
        <w:spacing w:line="480" w:lineRule="exact"/>
        <w:jc w:val="center"/>
        <w:rPr>
          <w:rFonts w:ascii="黑体" w:hAnsi="宋体" w:eastAsia="黑体"/>
          <w:b/>
          <w:sz w:val="52"/>
          <w:szCs w:val="52"/>
        </w:rPr>
      </w:pPr>
    </w:p>
    <w:p w14:paraId="39449733">
      <w:pPr>
        <w:adjustRightInd w:val="0"/>
        <w:spacing w:line="480" w:lineRule="exact"/>
        <w:jc w:val="both"/>
        <w:rPr>
          <w:rFonts w:ascii="黑体" w:hAnsi="宋体" w:eastAsia="黑体"/>
          <w:b/>
          <w:sz w:val="52"/>
          <w:szCs w:val="52"/>
        </w:rPr>
      </w:pPr>
    </w:p>
    <w:p w14:paraId="76EF25B6">
      <w:pPr>
        <w:adjustRightInd w:val="0"/>
        <w:spacing w:line="360" w:lineRule="auto"/>
        <w:jc w:val="center"/>
        <w:rPr>
          <w:rFonts w:ascii="黑体" w:hAnsi="宋体" w:eastAsia="黑体"/>
          <w:b/>
          <w:sz w:val="52"/>
          <w:szCs w:val="52"/>
        </w:rPr>
      </w:pPr>
    </w:p>
    <w:p w14:paraId="3883BF9B">
      <w:pPr>
        <w:tabs>
          <w:tab w:val="left" w:pos="6930"/>
        </w:tabs>
        <w:adjustRightInd w:val="0"/>
        <w:snapToGrid w:val="0"/>
        <w:spacing w:line="360" w:lineRule="auto"/>
        <w:jc w:val="center"/>
        <w:rPr>
          <w:rFonts w:hint="eastAsia" w:ascii="黑体" w:hAnsi="黑体" w:eastAsia="黑体" w:cs="黑体"/>
          <w:b/>
          <w:sz w:val="44"/>
          <w:szCs w:val="44"/>
        </w:rPr>
      </w:pPr>
      <w:r>
        <w:rPr>
          <w:rFonts w:hint="eastAsia" w:ascii="黑体" w:hAnsi="黑体" w:eastAsia="黑体" w:cs="黑体"/>
          <w:b/>
          <w:sz w:val="44"/>
          <w:szCs w:val="44"/>
        </w:rPr>
        <w:t>2025年</w:t>
      </w:r>
      <w:r>
        <w:rPr>
          <w:rFonts w:hint="eastAsia" w:ascii="黑体" w:hAnsi="黑体" w:eastAsia="黑体" w:cs="黑体"/>
          <w:b/>
          <w:bCs/>
          <w:sz w:val="44"/>
          <w:szCs w:val="44"/>
          <w:lang w:val="en-US" w:eastAsia="zh-CN"/>
        </w:rPr>
        <w:t>疆昌吉国家农业高新技术产业示范区</w:t>
      </w:r>
      <w:r>
        <w:rPr>
          <w:rFonts w:hint="eastAsia" w:ascii="黑体" w:hAnsi="黑体" w:eastAsia="黑体" w:cs="黑体"/>
          <w:b/>
          <w:sz w:val="44"/>
          <w:szCs w:val="44"/>
          <w:lang w:eastAsia="zh-CN"/>
        </w:rPr>
        <w:t>环形混凝土电杆</w:t>
      </w:r>
      <w:r>
        <w:rPr>
          <w:rFonts w:hint="eastAsia" w:ascii="黑体" w:hAnsi="黑体" w:eastAsia="黑体" w:cs="黑体"/>
          <w:b/>
          <w:sz w:val="44"/>
          <w:szCs w:val="44"/>
        </w:rPr>
        <w:t>产品质量监督</w:t>
      </w:r>
    </w:p>
    <w:p w14:paraId="188C802A">
      <w:pPr>
        <w:tabs>
          <w:tab w:val="left" w:pos="6930"/>
        </w:tabs>
        <w:adjustRightInd w:val="0"/>
        <w:snapToGrid w:val="0"/>
        <w:spacing w:line="360" w:lineRule="auto"/>
        <w:jc w:val="center"/>
        <w:rPr>
          <w:rFonts w:ascii="黑体" w:hAnsi="黑体" w:eastAsia="黑体" w:cs="黑体"/>
          <w:b/>
          <w:bCs/>
          <w:sz w:val="44"/>
          <w:szCs w:val="44"/>
        </w:rPr>
      </w:pPr>
      <w:r>
        <w:rPr>
          <w:rFonts w:hint="eastAsia" w:ascii="黑体" w:hAnsi="黑体" w:eastAsia="黑体" w:cs="黑体"/>
          <w:b/>
          <w:sz w:val="44"/>
          <w:szCs w:val="44"/>
        </w:rPr>
        <w:t>抽查</w:t>
      </w:r>
      <w:r>
        <w:rPr>
          <w:rFonts w:hint="eastAsia" w:ascii="黑体" w:hAnsi="黑体" w:eastAsia="黑体" w:cs="黑体"/>
          <w:b/>
          <w:bCs/>
          <w:sz w:val="44"/>
          <w:szCs w:val="44"/>
        </w:rPr>
        <w:t>实施细则</w:t>
      </w:r>
    </w:p>
    <w:p w14:paraId="6FDB899D">
      <w:pPr>
        <w:tabs>
          <w:tab w:val="left" w:pos="6930"/>
        </w:tabs>
        <w:adjustRightInd w:val="0"/>
        <w:spacing w:line="360" w:lineRule="auto"/>
        <w:jc w:val="left"/>
        <w:rPr>
          <w:rFonts w:ascii="黑体" w:hAnsi="黑体" w:eastAsia="黑体" w:cs="黑体"/>
          <w:b/>
          <w:bCs/>
          <w:sz w:val="44"/>
          <w:szCs w:val="44"/>
        </w:rPr>
      </w:pPr>
    </w:p>
    <w:p w14:paraId="3998D562">
      <w:pPr>
        <w:tabs>
          <w:tab w:val="left" w:pos="6930"/>
        </w:tabs>
        <w:adjustRightInd w:val="0"/>
        <w:spacing w:line="480" w:lineRule="exact"/>
        <w:jc w:val="center"/>
        <w:rPr>
          <w:rFonts w:ascii="黑体" w:hAnsi="宋体" w:eastAsia="黑体"/>
          <w:b/>
          <w:sz w:val="52"/>
          <w:szCs w:val="52"/>
        </w:rPr>
      </w:pPr>
    </w:p>
    <w:p w14:paraId="376AAFFB">
      <w:pPr>
        <w:adjustRightInd w:val="0"/>
        <w:spacing w:line="480" w:lineRule="exact"/>
        <w:jc w:val="center"/>
        <w:rPr>
          <w:rFonts w:ascii="黑体" w:hAnsi="宋体" w:eastAsia="黑体"/>
          <w:b/>
          <w:sz w:val="52"/>
          <w:szCs w:val="52"/>
        </w:rPr>
      </w:pPr>
    </w:p>
    <w:p w14:paraId="562CF131">
      <w:pPr>
        <w:adjustRightInd w:val="0"/>
        <w:spacing w:line="480" w:lineRule="exact"/>
        <w:jc w:val="center"/>
        <w:rPr>
          <w:rFonts w:ascii="黑体" w:hAnsi="宋体" w:eastAsia="黑体"/>
          <w:b/>
          <w:sz w:val="52"/>
          <w:szCs w:val="52"/>
        </w:rPr>
      </w:pPr>
    </w:p>
    <w:p w14:paraId="691DF0EB">
      <w:pPr>
        <w:adjustRightInd w:val="0"/>
        <w:spacing w:line="480" w:lineRule="exact"/>
        <w:jc w:val="center"/>
        <w:rPr>
          <w:rFonts w:ascii="黑体" w:hAnsi="宋体" w:eastAsia="黑体"/>
          <w:b/>
          <w:sz w:val="52"/>
          <w:szCs w:val="52"/>
        </w:rPr>
      </w:pPr>
    </w:p>
    <w:p w14:paraId="60DD7B64">
      <w:pPr>
        <w:adjustRightInd w:val="0"/>
        <w:spacing w:line="480" w:lineRule="exact"/>
        <w:jc w:val="center"/>
        <w:rPr>
          <w:rFonts w:ascii="黑体" w:hAnsi="宋体" w:eastAsia="黑体"/>
          <w:b/>
          <w:sz w:val="52"/>
          <w:szCs w:val="52"/>
        </w:rPr>
      </w:pPr>
    </w:p>
    <w:p w14:paraId="5067F0EE">
      <w:pPr>
        <w:adjustRightInd w:val="0"/>
        <w:spacing w:line="480" w:lineRule="exact"/>
        <w:jc w:val="center"/>
        <w:rPr>
          <w:rFonts w:ascii="黑体" w:hAnsi="宋体" w:eastAsia="黑体"/>
          <w:sz w:val="52"/>
          <w:szCs w:val="52"/>
        </w:rPr>
      </w:pPr>
    </w:p>
    <w:p w14:paraId="7FF80E20">
      <w:pPr>
        <w:adjustRightInd w:val="0"/>
        <w:spacing w:line="480" w:lineRule="exact"/>
        <w:jc w:val="center"/>
        <w:rPr>
          <w:rFonts w:ascii="黑体" w:hAnsi="宋体" w:eastAsia="黑体"/>
          <w:sz w:val="52"/>
          <w:szCs w:val="52"/>
        </w:rPr>
      </w:pPr>
    </w:p>
    <w:p w14:paraId="7D1EC774">
      <w:pPr>
        <w:adjustRightInd w:val="0"/>
        <w:spacing w:line="480" w:lineRule="exact"/>
        <w:rPr>
          <w:rFonts w:ascii="黑体" w:hAnsi="宋体" w:eastAsia="黑体"/>
          <w:b/>
          <w:sz w:val="52"/>
          <w:szCs w:val="52"/>
        </w:rPr>
      </w:pPr>
    </w:p>
    <w:p w14:paraId="3410006A">
      <w:pPr>
        <w:adjustRightInd w:val="0"/>
        <w:spacing w:line="480" w:lineRule="exact"/>
        <w:rPr>
          <w:rFonts w:ascii="黑体" w:hAnsi="宋体" w:eastAsia="黑体"/>
          <w:b/>
          <w:sz w:val="52"/>
          <w:szCs w:val="52"/>
        </w:rPr>
      </w:pPr>
    </w:p>
    <w:p w14:paraId="429FA196">
      <w:pPr>
        <w:adjustRightInd w:val="0"/>
        <w:spacing w:line="480" w:lineRule="exact"/>
        <w:rPr>
          <w:rFonts w:ascii="黑体" w:hAnsi="宋体" w:eastAsia="黑体"/>
          <w:b/>
          <w:sz w:val="52"/>
          <w:szCs w:val="52"/>
        </w:rPr>
      </w:pPr>
    </w:p>
    <w:p w14:paraId="15BE944F">
      <w:pPr>
        <w:adjustRightInd w:val="0"/>
        <w:spacing w:line="480" w:lineRule="exact"/>
        <w:jc w:val="left"/>
        <w:rPr>
          <w:rFonts w:ascii="黑体" w:hAnsi="黑体" w:eastAsia="黑体" w:cs="黑体"/>
          <w:bCs/>
          <w:sz w:val="24"/>
        </w:rPr>
      </w:pPr>
      <w:r>
        <w:rPr>
          <w:rFonts w:hint="eastAsia" w:ascii="黑体" w:hAnsi="黑体" w:eastAsia="黑体" w:cs="黑体"/>
          <w:bCs/>
          <w:sz w:val="24"/>
          <w:lang w:eastAsia="zh-CN"/>
        </w:rPr>
        <w:t>202</w:t>
      </w:r>
      <w:r>
        <w:rPr>
          <w:rFonts w:hint="eastAsia" w:ascii="黑体" w:hAnsi="黑体" w:eastAsia="黑体" w:cs="黑体"/>
          <w:bCs/>
          <w:sz w:val="24"/>
          <w:lang w:val="en-US" w:eastAsia="zh-CN"/>
        </w:rPr>
        <w:t>5</w:t>
      </w:r>
      <w:r>
        <w:rPr>
          <w:rFonts w:ascii="黑体" w:hAnsi="黑体" w:eastAsia="黑体" w:cs="黑体"/>
          <w:bCs/>
          <w:sz w:val="24"/>
        </w:rPr>
        <w:t>-</w:t>
      </w:r>
      <w:r>
        <w:rPr>
          <w:rFonts w:hint="eastAsia" w:ascii="黑体" w:hAnsi="黑体" w:eastAsia="黑体" w:cs="黑体"/>
          <w:bCs/>
          <w:sz w:val="24"/>
          <w:lang w:val="en-US" w:eastAsia="zh-CN"/>
        </w:rPr>
        <w:t>00</w:t>
      </w:r>
      <w:r>
        <w:rPr>
          <w:rFonts w:ascii="黑体" w:hAnsi="黑体" w:eastAsia="黑体" w:cs="黑体"/>
          <w:bCs/>
          <w:sz w:val="24"/>
        </w:rPr>
        <w:t>-</w:t>
      </w:r>
      <w:r>
        <w:rPr>
          <w:rFonts w:hint="eastAsia" w:ascii="黑体" w:hAnsi="黑体" w:eastAsia="黑体" w:cs="黑体"/>
          <w:bCs/>
          <w:sz w:val="24"/>
          <w:lang w:val="en-US" w:eastAsia="zh-CN"/>
        </w:rPr>
        <w:t>00</w:t>
      </w:r>
      <w:r>
        <w:rPr>
          <w:rFonts w:hint="eastAsia" w:ascii="黑体" w:hAnsi="黑体" w:eastAsia="黑体" w:cs="黑体"/>
          <w:bCs/>
          <w:sz w:val="24"/>
        </w:rPr>
        <w:t>发布</w:t>
      </w:r>
      <w:r>
        <w:rPr>
          <w:rFonts w:ascii="黑体" w:hAnsi="黑体" w:eastAsia="黑体" w:cs="黑体"/>
          <w:bCs/>
          <w:sz w:val="24"/>
        </w:rPr>
        <w:t xml:space="preserve">                                         </w:t>
      </w:r>
      <w:r>
        <w:rPr>
          <w:rFonts w:hint="eastAsia" w:ascii="黑体" w:hAnsi="黑体" w:eastAsia="黑体" w:cs="黑体"/>
          <w:bCs/>
          <w:sz w:val="24"/>
          <w:lang w:eastAsia="zh-CN"/>
        </w:rPr>
        <w:t>202</w:t>
      </w:r>
      <w:r>
        <w:rPr>
          <w:rFonts w:hint="eastAsia" w:ascii="黑体" w:hAnsi="黑体" w:eastAsia="黑体" w:cs="黑体"/>
          <w:bCs/>
          <w:sz w:val="24"/>
          <w:lang w:val="en-US" w:eastAsia="zh-CN"/>
        </w:rPr>
        <w:t>5</w:t>
      </w:r>
      <w:r>
        <w:rPr>
          <w:rFonts w:ascii="黑体" w:hAnsi="黑体" w:eastAsia="黑体" w:cs="黑体"/>
          <w:bCs/>
          <w:sz w:val="24"/>
        </w:rPr>
        <w:t>-</w:t>
      </w:r>
      <w:r>
        <w:rPr>
          <w:rFonts w:hint="eastAsia" w:ascii="黑体" w:hAnsi="黑体" w:eastAsia="黑体" w:cs="黑体"/>
          <w:bCs/>
          <w:sz w:val="24"/>
          <w:lang w:val="en-US" w:eastAsia="zh-CN"/>
        </w:rPr>
        <w:t>00</w:t>
      </w:r>
      <w:r>
        <w:rPr>
          <w:rFonts w:ascii="黑体" w:hAnsi="黑体" w:eastAsia="黑体" w:cs="黑体"/>
          <w:bCs/>
          <w:sz w:val="24"/>
        </w:rPr>
        <w:t>-</w:t>
      </w:r>
      <w:r>
        <w:rPr>
          <w:rFonts w:hint="eastAsia" w:ascii="黑体" w:hAnsi="黑体" w:eastAsia="黑体" w:cs="黑体"/>
          <w:bCs/>
          <w:sz w:val="24"/>
          <w:lang w:val="en-US" w:eastAsia="zh-CN"/>
        </w:rPr>
        <w:t>00</w:t>
      </w:r>
      <w:r>
        <w:rPr>
          <w:rFonts w:hint="eastAsia" w:ascii="黑体" w:hAnsi="黑体" w:eastAsia="黑体" w:cs="黑体"/>
          <w:bCs/>
          <w:sz w:val="24"/>
        </w:rPr>
        <w:t>实施</w:t>
      </w:r>
    </w:p>
    <w:p w14:paraId="374FAF37">
      <w:pPr>
        <w:spacing w:line="360" w:lineRule="auto"/>
        <w:jc w:val="center"/>
        <w:rPr>
          <w:rFonts w:ascii="黑体" w:hAnsi="宋体" w:eastAsia="黑体" w:cs="黑体"/>
          <w:bCs/>
          <w:sz w:val="32"/>
          <w:szCs w:val="32"/>
        </w:rPr>
        <w:sectPr>
          <w:footerReference r:id="rId6" w:type="first"/>
          <w:headerReference r:id="rId3" w:type="default"/>
          <w:footerReference r:id="rId4" w:type="default"/>
          <w:footerReference r:id="rId5" w:type="even"/>
          <w:pgSz w:w="11906" w:h="16838"/>
          <w:pgMar w:top="1985" w:right="1361" w:bottom="1361" w:left="1588" w:header="851" w:footer="992" w:gutter="0"/>
          <w:pgNumType w:start="1"/>
          <w:cols w:space="720" w:num="1"/>
          <w:titlePg/>
          <w:docGrid w:type="lines" w:linePitch="312" w:charSpace="0"/>
        </w:sectPr>
      </w:pPr>
      <w:r>
        <w:rPr>
          <w:rFonts w:hint="default" w:ascii="黑体" w:hAnsi="宋体" w:eastAsia="黑体" w:cs="黑体"/>
          <w:bCs/>
          <w:sz w:val="32"/>
          <w:szCs w:val="32"/>
          <w:lang w:val="en-US"/>
        </w:rPr>
        <w:pict>
          <v:shape id="_x0000_s2051" o:spid="_x0000_s2051" o:spt="32" type="#_x0000_t32" style="position:absolute;left:0pt;margin-left:-15.65pt;margin-top:2.35pt;height:0pt;width:446.95pt;z-index:251661312;mso-width-relative:page;mso-height-relative:page;" o:connectortype="straight" filled="f" coordsize="21600,21600">
            <v:path arrowok="t"/>
            <v:fill on="f" focussize="0,0"/>
            <v:stroke weight="1.25pt"/>
            <v:imagedata o:title=""/>
            <o:lock v:ext="edit"/>
          </v:shape>
        </w:pict>
      </w:r>
      <w:r>
        <w:rPr>
          <w:rFonts w:hint="eastAsia" w:ascii="黑体" w:hAnsi="宋体" w:eastAsia="黑体" w:cs="黑体"/>
          <w:bCs/>
          <w:sz w:val="32"/>
          <w:szCs w:val="32"/>
          <w:lang w:val="en-US" w:eastAsia="zh-CN"/>
        </w:rPr>
        <w:t>新</w:t>
      </w:r>
      <w:bookmarkStart w:id="0" w:name="_GoBack"/>
      <w:bookmarkEnd w:id="0"/>
      <w:r>
        <w:rPr>
          <w:rFonts w:hint="default" w:ascii="黑体" w:hAnsi="宋体" w:eastAsia="黑体" w:cs="黑体"/>
          <w:bCs/>
          <w:sz w:val="32"/>
          <w:szCs w:val="32"/>
          <w:lang w:val="en-US"/>
        </w:rPr>
        <w:t>疆昌吉国家农业高新技术产业示范区</w:t>
      </w:r>
      <w:r>
        <w:rPr>
          <w:rFonts w:hint="eastAsia" w:ascii="黑体" w:hAnsi="宋体" w:eastAsia="黑体" w:cs="黑体"/>
          <w:bCs/>
          <w:sz w:val="32"/>
          <w:szCs w:val="32"/>
        </w:rPr>
        <w:t>场监督管理局</w:t>
      </w:r>
    </w:p>
    <w:p w14:paraId="63F3620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微软雅黑" w:hAnsi="仿宋" w:eastAsia="微软雅黑" w:cs="微软雅黑"/>
          <w:b/>
          <w:color w:val="000000"/>
          <w:sz w:val="32"/>
          <w:szCs w:val="32"/>
        </w:rPr>
      </w:pPr>
      <w:r>
        <w:rPr>
          <w:rFonts w:hint="eastAsia" w:ascii="微软雅黑" w:hAnsi="仿宋" w:eastAsia="微软雅黑" w:cs="微软雅黑"/>
          <w:b/>
          <w:color w:val="000000"/>
          <w:sz w:val="32"/>
          <w:szCs w:val="32"/>
          <w:lang w:eastAsia="zh-CN"/>
        </w:rPr>
        <w:t>202</w:t>
      </w:r>
      <w:r>
        <w:rPr>
          <w:rFonts w:hint="eastAsia" w:ascii="微软雅黑" w:hAnsi="仿宋" w:eastAsia="微软雅黑" w:cs="微软雅黑"/>
          <w:b/>
          <w:color w:val="000000"/>
          <w:sz w:val="32"/>
          <w:szCs w:val="32"/>
          <w:lang w:val="en-US" w:eastAsia="zh-CN"/>
        </w:rPr>
        <w:t>5</w:t>
      </w:r>
      <w:r>
        <w:rPr>
          <w:rFonts w:hint="eastAsia" w:ascii="微软雅黑" w:hAnsi="仿宋" w:eastAsia="微软雅黑" w:cs="微软雅黑"/>
          <w:b/>
          <w:color w:val="000000"/>
          <w:sz w:val="32"/>
          <w:szCs w:val="32"/>
        </w:rPr>
        <w:t>年</w:t>
      </w:r>
      <w:r>
        <w:rPr>
          <w:rFonts w:hint="eastAsia" w:ascii="微软雅黑" w:hAnsi="仿宋" w:eastAsia="微软雅黑" w:cs="微软雅黑"/>
          <w:b/>
          <w:color w:val="000000"/>
          <w:sz w:val="32"/>
          <w:szCs w:val="32"/>
          <w:lang w:val="en-US" w:eastAsia="zh-CN"/>
        </w:rPr>
        <w:t>新</w:t>
      </w:r>
      <w:r>
        <w:rPr>
          <w:rFonts w:hint="eastAsia" w:ascii="微软雅黑" w:hAnsi="仿宋" w:eastAsia="微软雅黑" w:cs="微软雅黑"/>
          <w:b/>
          <w:color w:val="000000"/>
          <w:sz w:val="32"/>
          <w:szCs w:val="32"/>
        </w:rPr>
        <w:t>疆昌吉国家农业高新技术产业示范区</w:t>
      </w:r>
      <w:r>
        <w:rPr>
          <w:rFonts w:hint="eastAsia" w:ascii="微软雅黑" w:hAnsi="仿宋" w:eastAsia="微软雅黑" w:cs="微软雅黑"/>
          <w:b/>
          <w:color w:val="000000"/>
          <w:sz w:val="32"/>
          <w:szCs w:val="32"/>
          <w:lang w:eastAsia="zh-CN"/>
        </w:rPr>
        <w:t>环形混凝土电杆</w:t>
      </w:r>
      <w:r>
        <w:rPr>
          <w:rFonts w:hint="eastAsia" w:ascii="微软雅黑" w:hAnsi="仿宋" w:eastAsia="微软雅黑" w:cs="微软雅黑"/>
          <w:b/>
          <w:color w:val="000000"/>
          <w:sz w:val="32"/>
          <w:szCs w:val="32"/>
        </w:rPr>
        <w:t>产品质量监督抽查实施细则</w:t>
      </w:r>
    </w:p>
    <w:p w14:paraId="1560F54F">
      <w:pPr>
        <w:adjustRightInd w:val="0"/>
        <w:snapToGrid w:val="0"/>
        <w:spacing w:line="360" w:lineRule="auto"/>
        <w:jc w:val="center"/>
        <w:rPr>
          <w:rFonts w:ascii="微软雅黑" w:hAnsi="仿宋" w:eastAsia="微软雅黑" w:cs="微软雅黑"/>
          <w:sz w:val="32"/>
          <w:szCs w:val="32"/>
        </w:rPr>
      </w:pPr>
    </w:p>
    <w:p w14:paraId="07480C25">
      <w:pPr>
        <w:adjustRightInd w:val="0"/>
        <w:snapToGrid w:val="0"/>
        <w:spacing w:line="360" w:lineRule="auto"/>
        <w:rPr>
          <w:rFonts w:ascii="黑体" w:hAnsi="黑体" w:eastAsia="黑体"/>
          <w:b/>
          <w:szCs w:val="21"/>
        </w:rPr>
      </w:pPr>
      <w:r>
        <w:rPr>
          <w:rFonts w:ascii="黑体" w:hAnsi="黑体" w:eastAsia="黑体"/>
          <w:b/>
          <w:szCs w:val="21"/>
        </w:rPr>
        <w:t xml:space="preserve">1 </w:t>
      </w:r>
      <w:r>
        <w:rPr>
          <w:rFonts w:hint="eastAsia" w:ascii="黑体" w:hAnsi="黑体" w:eastAsia="黑体"/>
          <w:b/>
          <w:szCs w:val="21"/>
        </w:rPr>
        <w:t>抽样方法</w:t>
      </w:r>
    </w:p>
    <w:p w14:paraId="4C37E095">
      <w:pPr>
        <w:adjustRightInd w:val="0"/>
        <w:snapToGrid w:val="0"/>
        <w:spacing w:line="360" w:lineRule="auto"/>
        <w:ind w:firstLine="420" w:firstLineChars="200"/>
        <w:rPr>
          <w:rFonts w:hint="eastAsia" w:ascii="宋体" w:hAnsi="宋体"/>
          <w:szCs w:val="28"/>
          <w:highlight w:val="none"/>
        </w:rPr>
      </w:pPr>
      <w:r>
        <w:rPr>
          <w:rFonts w:hint="eastAsia" w:ascii="宋体" w:hAnsi="宋体"/>
          <w:szCs w:val="28"/>
          <w:highlight w:val="none"/>
        </w:rPr>
        <w:t>以随机抽样的方式在被抽样生产者待销产品中抽取。</w:t>
      </w:r>
    </w:p>
    <w:p w14:paraId="1A571920">
      <w:pPr>
        <w:adjustRightInd w:val="0"/>
        <w:snapToGrid w:val="0"/>
        <w:spacing w:line="360" w:lineRule="auto"/>
        <w:ind w:firstLine="420" w:firstLineChars="200"/>
        <w:rPr>
          <w:rFonts w:hint="eastAsia" w:ascii="宋体" w:hAnsi="宋体"/>
          <w:szCs w:val="28"/>
          <w:highlight w:val="none"/>
        </w:rPr>
      </w:pPr>
      <w:r>
        <w:rPr>
          <w:rFonts w:hint="eastAsia" w:ascii="宋体" w:hAnsi="宋体"/>
          <w:szCs w:val="28"/>
          <w:highlight w:val="none"/>
        </w:rPr>
        <w:t>随机数</w:t>
      </w:r>
      <w:r>
        <w:rPr>
          <w:rFonts w:hint="eastAsia" w:ascii="宋体" w:hAnsi="宋体"/>
          <w:szCs w:val="28"/>
          <w:highlight w:val="none"/>
          <w:lang w:eastAsia="zh-CN"/>
        </w:rPr>
        <w:t>一般可使用随机数表等方法产生</w:t>
      </w:r>
      <w:r>
        <w:rPr>
          <w:rFonts w:hint="eastAsia" w:ascii="宋体" w:hAnsi="宋体"/>
          <w:szCs w:val="28"/>
          <w:highlight w:val="none"/>
        </w:rPr>
        <w:t>。</w:t>
      </w:r>
    </w:p>
    <w:p w14:paraId="5E450888">
      <w:pPr>
        <w:adjustRightInd w:val="0"/>
        <w:snapToGrid w:val="0"/>
        <w:spacing w:line="360" w:lineRule="auto"/>
        <w:ind w:firstLine="420" w:firstLineChars="200"/>
        <w:rPr>
          <w:rFonts w:hint="eastAsia" w:ascii="宋体" w:hAnsi="宋体"/>
          <w:szCs w:val="28"/>
          <w:highlight w:val="none"/>
        </w:rPr>
      </w:pPr>
      <w:r>
        <w:rPr>
          <w:rFonts w:hint="eastAsia" w:hAnsi="宋体"/>
          <w:kern w:val="0"/>
          <w:szCs w:val="21"/>
        </w:rPr>
        <w:t>抽取样品应为同一生产企业生产的</w:t>
      </w:r>
      <w:r>
        <w:rPr>
          <w:rFonts w:hint="eastAsia" w:ascii="Arial" w:hAnsi="Arial" w:cs="Arial"/>
          <w:color w:val="auto"/>
          <w:szCs w:val="21"/>
        </w:rPr>
        <w:t>同材料、同工艺、同品种、同荷载级别、同规格的电杆</w:t>
      </w:r>
      <w:r>
        <w:rPr>
          <w:rFonts w:hint="eastAsia" w:hAnsi="宋体"/>
          <w:kern w:val="0"/>
          <w:szCs w:val="21"/>
          <w:lang w:eastAsia="zh-CN"/>
        </w:rPr>
        <w:t>、</w:t>
      </w:r>
      <w:r>
        <w:rPr>
          <w:rFonts w:hint="eastAsia" w:hAnsi="宋体"/>
          <w:kern w:val="0"/>
          <w:szCs w:val="21"/>
        </w:rPr>
        <w:t>同批次的产品。</w:t>
      </w:r>
      <w:r>
        <w:rPr>
          <w:rFonts w:hint="eastAsia" w:ascii="宋体" w:hAnsi="宋体"/>
          <w:color w:val="000000"/>
          <w:szCs w:val="21"/>
        </w:rPr>
        <w:t>相同条件下如存在多个规格型号可以抽取的</w:t>
      </w:r>
      <w:r>
        <w:rPr>
          <w:rFonts w:hint="eastAsia" w:ascii="宋体" w:hAnsi="宋体"/>
          <w:color w:val="000000"/>
          <w:szCs w:val="21"/>
          <w:lang w:eastAsia="zh-CN"/>
        </w:rPr>
        <w:t>，</w:t>
      </w:r>
      <w:r>
        <w:rPr>
          <w:rFonts w:hint="eastAsia" w:ascii="宋体" w:hAnsi="宋体"/>
          <w:color w:val="000000"/>
          <w:szCs w:val="21"/>
          <w:highlight w:val="none"/>
        </w:rPr>
        <w:t>存</w:t>
      </w:r>
      <w:r>
        <w:rPr>
          <w:rFonts w:hint="eastAsia" w:ascii="宋体" w:hAnsi="宋体"/>
          <w:color w:val="000000"/>
          <w:szCs w:val="21"/>
        </w:rPr>
        <w:t>货量大的产品。</w:t>
      </w:r>
    </w:p>
    <w:p w14:paraId="7676045E">
      <w:pPr>
        <w:adjustRightInd w:val="0"/>
        <w:snapToGrid w:val="0"/>
        <w:spacing w:line="360" w:lineRule="auto"/>
        <w:rPr>
          <w:rFonts w:ascii="黑体" w:hAnsi="黑体" w:eastAsia="黑体"/>
          <w:b/>
          <w:szCs w:val="21"/>
          <w:highlight w:val="yellow"/>
        </w:rPr>
      </w:pPr>
    </w:p>
    <w:p w14:paraId="55306A7A">
      <w:pPr>
        <w:adjustRightInd w:val="0"/>
        <w:snapToGrid w:val="0"/>
        <w:spacing w:line="360" w:lineRule="auto"/>
        <w:rPr>
          <w:rFonts w:ascii="黑体" w:hAnsi="黑体" w:eastAsia="黑体"/>
          <w:b/>
          <w:szCs w:val="21"/>
          <w:highlight w:val="none"/>
        </w:rPr>
      </w:pPr>
      <w:r>
        <w:rPr>
          <w:rFonts w:ascii="黑体" w:hAnsi="黑体" w:eastAsia="黑体"/>
          <w:b/>
          <w:szCs w:val="21"/>
          <w:highlight w:val="none"/>
        </w:rPr>
        <w:t xml:space="preserve">2 </w:t>
      </w:r>
      <w:r>
        <w:rPr>
          <w:rFonts w:hint="eastAsia" w:ascii="黑体" w:hAnsi="黑体" w:eastAsia="黑体"/>
          <w:b/>
          <w:szCs w:val="21"/>
          <w:highlight w:val="none"/>
        </w:rPr>
        <w:t>检验依据</w:t>
      </w:r>
    </w:p>
    <w:p w14:paraId="7E50B219">
      <w:pPr>
        <w:adjustRightInd w:val="0"/>
        <w:snapToGrid w:val="0"/>
        <w:spacing w:line="360" w:lineRule="auto"/>
        <w:ind w:firstLine="420" w:firstLineChars="200"/>
        <w:rPr>
          <w:rFonts w:ascii="宋体"/>
          <w:szCs w:val="28"/>
        </w:rPr>
      </w:pPr>
      <w:r>
        <w:rPr>
          <w:rFonts w:hint="eastAsia" w:ascii="宋体" w:hAnsi="宋体"/>
          <w:szCs w:val="28"/>
          <w:lang w:eastAsia="zh-CN"/>
        </w:rPr>
        <w:t>环形混凝土电杆现场</w:t>
      </w:r>
      <w:r>
        <w:rPr>
          <w:rFonts w:hint="eastAsia" w:ascii="宋体" w:hAnsi="宋体"/>
          <w:szCs w:val="28"/>
        </w:rPr>
        <w:t>检验项目、检验方法见表</w:t>
      </w:r>
      <w:r>
        <w:rPr>
          <w:rFonts w:ascii="宋体" w:hAnsi="宋体"/>
          <w:szCs w:val="28"/>
        </w:rPr>
        <w:t>1</w:t>
      </w:r>
      <w:r>
        <w:rPr>
          <w:rFonts w:hint="eastAsia" w:ascii="宋体" w:hAnsi="宋体"/>
          <w:szCs w:val="28"/>
        </w:rPr>
        <w:t>。</w:t>
      </w:r>
    </w:p>
    <w:p w14:paraId="4BC68176">
      <w:pPr>
        <w:widowControl/>
        <w:ind w:right="198"/>
        <w:jc w:val="center"/>
        <w:rPr>
          <w:rFonts w:ascii="宋体"/>
          <w:sz w:val="18"/>
          <w:szCs w:val="18"/>
        </w:rPr>
      </w:pPr>
      <w:r>
        <w:rPr>
          <w:rFonts w:hint="eastAsia" w:ascii="宋体" w:hAnsi="宋体"/>
          <w:sz w:val="18"/>
          <w:szCs w:val="18"/>
        </w:rPr>
        <w:t>表</w:t>
      </w:r>
      <w:r>
        <w:rPr>
          <w:rFonts w:ascii="宋体" w:hAnsi="宋体"/>
          <w:sz w:val="18"/>
          <w:szCs w:val="18"/>
        </w:rPr>
        <w:t xml:space="preserve">1   </w:t>
      </w:r>
      <w:r>
        <w:rPr>
          <w:rFonts w:hint="eastAsia" w:ascii="宋体" w:hAnsi="宋体"/>
          <w:sz w:val="18"/>
          <w:szCs w:val="18"/>
          <w:lang w:eastAsia="zh-CN"/>
        </w:rPr>
        <w:t>环形混凝土电杆现场</w:t>
      </w:r>
      <w:r>
        <w:rPr>
          <w:rFonts w:hint="eastAsia" w:ascii="宋体" w:hAnsi="宋体"/>
          <w:sz w:val="18"/>
          <w:szCs w:val="18"/>
        </w:rPr>
        <w:t>检验项目及检验方法</w:t>
      </w:r>
    </w:p>
    <w:tbl>
      <w:tblPr>
        <w:tblStyle w:val="9"/>
        <w:tblpPr w:leftFromText="180" w:rightFromText="180" w:vertAnchor="text" w:horzAnchor="page" w:tblpXSpec="center" w:tblpY="101"/>
        <w:tblOverlap w:val="never"/>
        <w:tblW w:w="7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3437"/>
        <w:gridCol w:w="3438"/>
      </w:tblGrid>
      <w:tr w14:paraId="59572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5" w:type="dxa"/>
            <w:noWrap/>
            <w:vAlign w:val="center"/>
          </w:tcPr>
          <w:p w14:paraId="4924151D">
            <w:pPr>
              <w:adjustRightInd w:val="0"/>
              <w:snapToGrid w:val="0"/>
              <w:jc w:val="center"/>
              <w:rPr>
                <w:rFonts w:ascii="宋体"/>
                <w:sz w:val="18"/>
                <w:szCs w:val="18"/>
              </w:rPr>
            </w:pPr>
            <w:r>
              <w:rPr>
                <w:rFonts w:hint="eastAsia" w:ascii="宋体" w:hAnsi="宋体"/>
                <w:sz w:val="18"/>
                <w:szCs w:val="18"/>
              </w:rPr>
              <w:t>序号</w:t>
            </w:r>
          </w:p>
        </w:tc>
        <w:tc>
          <w:tcPr>
            <w:tcW w:w="3437" w:type="dxa"/>
            <w:noWrap/>
            <w:vAlign w:val="center"/>
          </w:tcPr>
          <w:p w14:paraId="04F29C50">
            <w:pPr>
              <w:snapToGrid w:val="0"/>
              <w:jc w:val="center"/>
              <w:rPr>
                <w:rFonts w:ascii="宋体"/>
                <w:bCs/>
                <w:color w:val="000000"/>
                <w:sz w:val="18"/>
                <w:szCs w:val="18"/>
              </w:rPr>
            </w:pPr>
            <w:r>
              <w:rPr>
                <w:rFonts w:hint="eastAsia" w:ascii="宋体" w:hAnsi="宋体"/>
                <w:bCs/>
                <w:color w:val="000000"/>
                <w:sz w:val="18"/>
                <w:szCs w:val="18"/>
              </w:rPr>
              <w:t>检验项目</w:t>
            </w:r>
          </w:p>
        </w:tc>
        <w:tc>
          <w:tcPr>
            <w:tcW w:w="3438" w:type="dxa"/>
            <w:noWrap/>
            <w:vAlign w:val="center"/>
          </w:tcPr>
          <w:p w14:paraId="50F7DEC3">
            <w:pPr>
              <w:snapToGrid w:val="0"/>
              <w:jc w:val="center"/>
              <w:rPr>
                <w:rFonts w:hint="eastAsia" w:ascii="宋体" w:hAnsi="宋体"/>
                <w:bCs/>
                <w:color w:val="000000"/>
                <w:sz w:val="18"/>
                <w:szCs w:val="18"/>
              </w:rPr>
            </w:pPr>
            <w:r>
              <w:rPr>
                <w:rFonts w:hint="eastAsia" w:ascii="宋体" w:hAnsi="宋体"/>
                <w:sz w:val="18"/>
                <w:szCs w:val="18"/>
              </w:rPr>
              <w:t>检验方法</w:t>
            </w:r>
          </w:p>
        </w:tc>
      </w:tr>
      <w:tr w14:paraId="1CD1B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5" w:type="dxa"/>
            <w:noWrap/>
            <w:vAlign w:val="center"/>
          </w:tcPr>
          <w:p w14:paraId="29FB6A62">
            <w:pPr>
              <w:snapToGrid w:val="0"/>
              <w:jc w:val="center"/>
              <w:rPr>
                <w:rFonts w:ascii="宋体"/>
                <w:bCs/>
                <w:color w:val="000000"/>
                <w:sz w:val="18"/>
                <w:szCs w:val="18"/>
              </w:rPr>
            </w:pPr>
            <w:r>
              <w:rPr>
                <w:rFonts w:ascii="宋体" w:hAnsi="宋体"/>
                <w:bCs/>
                <w:color w:val="000000"/>
                <w:sz w:val="18"/>
                <w:szCs w:val="18"/>
              </w:rPr>
              <w:t>1</w:t>
            </w:r>
          </w:p>
        </w:tc>
        <w:tc>
          <w:tcPr>
            <w:tcW w:w="3437" w:type="dxa"/>
            <w:noWrap/>
            <w:vAlign w:val="center"/>
          </w:tcPr>
          <w:p w14:paraId="412522FE">
            <w:pPr>
              <w:jc w:val="center"/>
              <w:rPr>
                <w:rFonts w:hint="eastAsia" w:ascii="宋体" w:eastAsia="宋体"/>
                <w:sz w:val="18"/>
                <w:szCs w:val="18"/>
                <w:lang w:eastAsia="zh-CN"/>
              </w:rPr>
            </w:pPr>
            <w:r>
              <w:rPr>
                <w:rFonts w:hint="eastAsia" w:ascii="Times New Roman" w:hAnsi="Times New Roman" w:eastAsia="宋体" w:cs="Times New Roman"/>
                <w:color w:val="auto"/>
                <w:sz w:val="18"/>
                <w:szCs w:val="18"/>
                <w:lang w:val="en-US" w:eastAsia="zh-CN"/>
              </w:rPr>
              <w:t>外观质量</w:t>
            </w:r>
          </w:p>
        </w:tc>
        <w:tc>
          <w:tcPr>
            <w:tcW w:w="3438" w:type="dxa"/>
            <w:noWrap/>
            <w:vAlign w:val="center"/>
          </w:tcPr>
          <w:p w14:paraId="764210E8">
            <w:pPr>
              <w:widowControl/>
              <w:ind w:right="198"/>
              <w:jc w:val="center"/>
              <w:rPr>
                <w:rFonts w:hint="default" w:ascii="宋体" w:hAnsi="宋体" w:eastAsia="宋体"/>
                <w:sz w:val="18"/>
                <w:szCs w:val="18"/>
                <w:lang w:val="en-US" w:eastAsia="zh-CN"/>
              </w:rPr>
            </w:pPr>
            <w:r>
              <w:rPr>
                <w:rFonts w:hint="eastAsia" w:ascii="宋体" w:hAnsi="宋体"/>
                <w:bCs/>
                <w:sz w:val="18"/>
                <w:szCs w:val="18"/>
                <w:lang w:val="en-US" w:eastAsia="zh-CN"/>
              </w:rPr>
              <w:t xml:space="preserve"> </w:t>
            </w:r>
            <w:r>
              <w:rPr>
                <w:rFonts w:ascii="宋体" w:hAnsi="宋体"/>
                <w:bCs/>
                <w:sz w:val="18"/>
                <w:szCs w:val="18"/>
              </w:rPr>
              <w:t xml:space="preserve">GB/T </w:t>
            </w:r>
            <w:r>
              <w:rPr>
                <w:rFonts w:hint="eastAsia" w:ascii="宋体" w:hAnsi="宋体"/>
                <w:bCs/>
                <w:sz w:val="18"/>
                <w:szCs w:val="18"/>
                <w:lang w:val="en-US" w:eastAsia="zh-CN"/>
              </w:rPr>
              <w:t>4623-2014</w:t>
            </w:r>
          </w:p>
        </w:tc>
      </w:tr>
      <w:tr w14:paraId="1E824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5" w:type="dxa"/>
            <w:noWrap/>
            <w:vAlign w:val="center"/>
          </w:tcPr>
          <w:p w14:paraId="07CCC793">
            <w:pPr>
              <w:snapToGrid w:val="0"/>
              <w:jc w:val="center"/>
              <w:rPr>
                <w:rFonts w:ascii="宋体"/>
                <w:bCs/>
                <w:color w:val="000000"/>
                <w:sz w:val="18"/>
                <w:szCs w:val="18"/>
              </w:rPr>
            </w:pPr>
            <w:r>
              <w:rPr>
                <w:rFonts w:ascii="宋体" w:hAnsi="宋体"/>
                <w:bCs/>
                <w:color w:val="000000"/>
                <w:sz w:val="18"/>
                <w:szCs w:val="18"/>
              </w:rPr>
              <w:t>2</w:t>
            </w:r>
          </w:p>
        </w:tc>
        <w:tc>
          <w:tcPr>
            <w:tcW w:w="3437" w:type="dxa"/>
            <w:noWrap/>
            <w:vAlign w:val="center"/>
          </w:tcPr>
          <w:p w14:paraId="16B4E0E1">
            <w:pPr>
              <w:jc w:val="center"/>
              <w:rPr>
                <w:rFonts w:hint="eastAsia" w:ascii="宋体" w:eastAsia="宋体"/>
                <w:sz w:val="18"/>
                <w:szCs w:val="18"/>
                <w:lang w:eastAsia="zh-CN"/>
              </w:rPr>
            </w:pPr>
            <w:r>
              <w:rPr>
                <w:rFonts w:hint="eastAsia" w:ascii="Times New Roman" w:hAnsi="Times New Roman" w:eastAsia="宋体" w:cs="Times New Roman"/>
                <w:color w:val="auto"/>
                <w:sz w:val="18"/>
                <w:szCs w:val="18"/>
                <w:lang w:val="en-US" w:eastAsia="zh-CN"/>
              </w:rPr>
              <w:t>尺寸偏差</w:t>
            </w:r>
          </w:p>
        </w:tc>
        <w:tc>
          <w:tcPr>
            <w:tcW w:w="3438" w:type="dxa"/>
            <w:noWrap/>
            <w:vAlign w:val="center"/>
          </w:tcPr>
          <w:p w14:paraId="64469BA0">
            <w:pPr>
              <w:snapToGrid w:val="0"/>
              <w:ind w:firstLine="900" w:firstLineChars="500"/>
              <w:jc w:val="both"/>
              <w:rPr>
                <w:rFonts w:hint="default" w:ascii="宋体" w:hAnsi="宋体"/>
                <w:sz w:val="18"/>
                <w:szCs w:val="18"/>
                <w:lang w:val="en-US"/>
              </w:rPr>
            </w:pPr>
            <w:r>
              <w:rPr>
                <w:rFonts w:hint="eastAsia" w:ascii="宋体" w:hAnsi="宋体"/>
                <w:bCs/>
                <w:sz w:val="18"/>
                <w:szCs w:val="18"/>
                <w:lang w:val="en-US" w:eastAsia="zh-CN"/>
              </w:rPr>
              <w:t xml:space="preserve"> </w:t>
            </w:r>
            <w:r>
              <w:rPr>
                <w:rFonts w:ascii="宋体" w:hAnsi="宋体"/>
                <w:bCs/>
                <w:sz w:val="18"/>
                <w:szCs w:val="18"/>
              </w:rPr>
              <w:t xml:space="preserve">GB/T </w:t>
            </w:r>
            <w:r>
              <w:rPr>
                <w:rFonts w:hint="eastAsia" w:ascii="宋体" w:hAnsi="宋体"/>
                <w:bCs/>
                <w:sz w:val="18"/>
                <w:szCs w:val="18"/>
                <w:lang w:val="en-US" w:eastAsia="zh-CN"/>
              </w:rPr>
              <w:t>4623-2014</w:t>
            </w:r>
          </w:p>
        </w:tc>
      </w:tr>
      <w:tr w14:paraId="10269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5" w:type="dxa"/>
            <w:noWrap/>
            <w:vAlign w:val="center"/>
          </w:tcPr>
          <w:p w14:paraId="415E678D">
            <w:pPr>
              <w:snapToGrid w:val="0"/>
              <w:jc w:val="center"/>
              <w:rPr>
                <w:rFonts w:ascii="宋体"/>
                <w:bCs/>
                <w:color w:val="000000"/>
                <w:sz w:val="18"/>
                <w:szCs w:val="18"/>
              </w:rPr>
            </w:pPr>
            <w:r>
              <w:rPr>
                <w:rFonts w:ascii="宋体" w:hAnsi="宋体"/>
                <w:bCs/>
                <w:color w:val="000000"/>
                <w:sz w:val="18"/>
                <w:szCs w:val="18"/>
              </w:rPr>
              <w:t>3</w:t>
            </w:r>
          </w:p>
        </w:tc>
        <w:tc>
          <w:tcPr>
            <w:tcW w:w="3437" w:type="dxa"/>
            <w:noWrap/>
            <w:vAlign w:val="center"/>
          </w:tcPr>
          <w:p w14:paraId="012EA6C9">
            <w:pPr>
              <w:jc w:val="center"/>
              <w:rPr>
                <w:rFonts w:hint="eastAsia" w:ascii="宋体" w:eastAsia="宋体"/>
                <w:sz w:val="18"/>
                <w:szCs w:val="18"/>
                <w:lang w:eastAsia="zh-CN"/>
              </w:rPr>
            </w:pPr>
            <w:r>
              <w:rPr>
                <w:rFonts w:hint="eastAsia" w:eastAsia="宋体"/>
                <w:color w:val="000000"/>
                <w:sz w:val="18"/>
                <w:szCs w:val="18"/>
                <w:lang w:eastAsia="zh-CN"/>
              </w:rPr>
              <w:t>力学性能</w:t>
            </w:r>
          </w:p>
        </w:tc>
        <w:tc>
          <w:tcPr>
            <w:tcW w:w="3438" w:type="dxa"/>
            <w:noWrap/>
            <w:vAlign w:val="center"/>
          </w:tcPr>
          <w:p w14:paraId="02D7FE28">
            <w:pPr>
              <w:widowControl/>
              <w:ind w:right="198"/>
              <w:jc w:val="center"/>
              <w:rPr>
                <w:rFonts w:hint="default" w:ascii="宋体" w:hAnsi="宋体"/>
                <w:sz w:val="18"/>
                <w:szCs w:val="18"/>
                <w:lang w:val="en-US"/>
              </w:rPr>
            </w:pPr>
            <w:r>
              <w:rPr>
                <w:rFonts w:hint="eastAsia" w:ascii="宋体" w:hAnsi="宋体"/>
                <w:bCs/>
                <w:sz w:val="18"/>
                <w:szCs w:val="18"/>
                <w:lang w:val="en-US" w:eastAsia="zh-CN"/>
              </w:rPr>
              <w:t xml:space="preserve"> </w:t>
            </w:r>
            <w:r>
              <w:rPr>
                <w:rFonts w:ascii="宋体" w:hAnsi="宋体"/>
                <w:bCs/>
                <w:sz w:val="18"/>
                <w:szCs w:val="18"/>
              </w:rPr>
              <w:t xml:space="preserve">GB/T </w:t>
            </w:r>
            <w:r>
              <w:rPr>
                <w:rFonts w:hint="eastAsia" w:ascii="宋体" w:hAnsi="宋体"/>
                <w:bCs/>
                <w:sz w:val="18"/>
                <w:szCs w:val="18"/>
                <w:lang w:val="en-US" w:eastAsia="zh-CN"/>
              </w:rPr>
              <w:t>4623-2014</w:t>
            </w:r>
          </w:p>
        </w:tc>
      </w:tr>
      <w:tr w14:paraId="7D9D6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5" w:type="dxa"/>
            <w:noWrap/>
            <w:vAlign w:val="center"/>
          </w:tcPr>
          <w:p w14:paraId="045F734C">
            <w:pPr>
              <w:snapToGrid w:val="0"/>
              <w:jc w:val="center"/>
              <w:rPr>
                <w:rFonts w:ascii="宋体"/>
                <w:bCs/>
                <w:color w:val="000000"/>
                <w:sz w:val="18"/>
                <w:szCs w:val="18"/>
              </w:rPr>
            </w:pPr>
            <w:r>
              <w:rPr>
                <w:rFonts w:ascii="宋体" w:hAnsi="宋体"/>
                <w:bCs/>
                <w:color w:val="000000"/>
                <w:sz w:val="18"/>
                <w:szCs w:val="18"/>
              </w:rPr>
              <w:t>4</w:t>
            </w:r>
          </w:p>
        </w:tc>
        <w:tc>
          <w:tcPr>
            <w:tcW w:w="3437" w:type="dxa"/>
            <w:noWrap/>
            <w:vAlign w:val="center"/>
          </w:tcPr>
          <w:p w14:paraId="29E1688D">
            <w:pPr>
              <w:jc w:val="center"/>
              <w:rPr>
                <w:rFonts w:hint="eastAsia" w:ascii="宋体" w:eastAsia="宋体"/>
                <w:sz w:val="18"/>
                <w:szCs w:val="18"/>
                <w:lang w:eastAsia="zh-CN"/>
              </w:rPr>
            </w:pPr>
            <w:r>
              <w:rPr>
                <w:rFonts w:hint="eastAsia" w:eastAsia="宋体"/>
                <w:color w:val="000000"/>
                <w:sz w:val="18"/>
                <w:szCs w:val="18"/>
                <w:lang w:eastAsia="zh-CN"/>
              </w:rPr>
              <w:t>保护层厚度</w:t>
            </w:r>
          </w:p>
        </w:tc>
        <w:tc>
          <w:tcPr>
            <w:tcW w:w="3438" w:type="dxa"/>
            <w:noWrap/>
            <w:vAlign w:val="center"/>
          </w:tcPr>
          <w:p w14:paraId="26171F79">
            <w:pPr>
              <w:widowControl/>
              <w:ind w:right="198"/>
              <w:jc w:val="center"/>
              <w:rPr>
                <w:rFonts w:hint="default" w:ascii="宋体" w:hAnsi="宋体"/>
                <w:sz w:val="18"/>
                <w:szCs w:val="18"/>
                <w:lang w:val="en-US"/>
              </w:rPr>
            </w:pPr>
            <w:r>
              <w:rPr>
                <w:rFonts w:hint="eastAsia" w:ascii="宋体" w:hAnsi="宋体"/>
                <w:bCs/>
                <w:sz w:val="18"/>
                <w:szCs w:val="18"/>
                <w:lang w:val="en-US" w:eastAsia="zh-CN"/>
              </w:rPr>
              <w:t xml:space="preserve"> </w:t>
            </w:r>
            <w:r>
              <w:rPr>
                <w:rFonts w:ascii="宋体" w:hAnsi="宋体"/>
                <w:bCs/>
                <w:sz w:val="18"/>
                <w:szCs w:val="18"/>
              </w:rPr>
              <w:t xml:space="preserve">GB/T </w:t>
            </w:r>
            <w:r>
              <w:rPr>
                <w:rFonts w:hint="eastAsia" w:ascii="宋体" w:hAnsi="宋体"/>
                <w:bCs/>
                <w:sz w:val="18"/>
                <w:szCs w:val="18"/>
                <w:lang w:val="en-US" w:eastAsia="zh-CN"/>
              </w:rPr>
              <w:t>4623-2014</w:t>
            </w:r>
          </w:p>
        </w:tc>
      </w:tr>
    </w:tbl>
    <w:p w14:paraId="0BF24FF2">
      <w:pPr>
        <w:widowControl/>
        <w:ind w:right="198"/>
        <w:jc w:val="center"/>
        <w:rPr>
          <w:rFonts w:ascii="宋体"/>
          <w:szCs w:val="21"/>
        </w:rPr>
      </w:pPr>
    </w:p>
    <w:p w14:paraId="79C8901B">
      <w:pPr>
        <w:adjustRightInd w:val="0"/>
        <w:snapToGrid w:val="0"/>
        <w:spacing w:line="360" w:lineRule="auto"/>
        <w:ind w:firstLine="420" w:firstLineChars="200"/>
        <w:rPr>
          <w:rFonts w:ascii="宋体"/>
          <w:szCs w:val="28"/>
        </w:rPr>
      </w:pPr>
      <w:r>
        <w:rPr>
          <w:rFonts w:hint="eastAsia" w:ascii="宋体" w:hAnsi="宋体"/>
          <w:szCs w:val="28"/>
        </w:rPr>
        <w:t>执行企业标准、团体标准、地方标准的产品，检验项目参照上述内容执行。</w:t>
      </w:r>
    </w:p>
    <w:p w14:paraId="643DF9CE">
      <w:pPr>
        <w:adjustRightInd w:val="0"/>
        <w:snapToGrid w:val="0"/>
        <w:spacing w:line="360" w:lineRule="auto"/>
        <w:ind w:firstLine="420" w:firstLineChars="200"/>
        <w:rPr>
          <w:rFonts w:ascii="宋体"/>
          <w:szCs w:val="28"/>
        </w:rPr>
      </w:pPr>
      <w:r>
        <w:rPr>
          <w:rFonts w:hint="eastAsia" w:ascii="宋体" w:hAnsi="宋体"/>
          <w:szCs w:val="28"/>
        </w:rPr>
        <w:t>凡是注日期的文件，其随后所有的修改单（不包括勘误的内容）或修订版不适用于本细则。凡是不注日期的文件，其最新版本适用于本细则。</w:t>
      </w:r>
    </w:p>
    <w:p w14:paraId="370C4BD5">
      <w:pPr>
        <w:snapToGrid w:val="0"/>
        <w:spacing w:line="360" w:lineRule="auto"/>
        <w:ind w:firstLine="420" w:firstLineChars="200"/>
        <w:rPr>
          <w:rFonts w:ascii="宋体"/>
          <w:color w:val="000000"/>
          <w:szCs w:val="21"/>
        </w:rPr>
      </w:pPr>
    </w:p>
    <w:p w14:paraId="3DCBE731">
      <w:pPr>
        <w:adjustRightInd w:val="0"/>
        <w:snapToGrid w:val="0"/>
        <w:spacing w:line="360" w:lineRule="auto"/>
        <w:rPr>
          <w:rFonts w:ascii="黑体" w:hAnsi="黑体" w:eastAsia="黑体"/>
          <w:b/>
          <w:szCs w:val="21"/>
        </w:rPr>
      </w:pPr>
      <w:r>
        <w:rPr>
          <w:rFonts w:ascii="黑体" w:hAnsi="黑体" w:eastAsia="黑体"/>
          <w:b/>
          <w:szCs w:val="21"/>
        </w:rPr>
        <w:t xml:space="preserve">3 </w:t>
      </w:r>
      <w:r>
        <w:rPr>
          <w:rFonts w:hint="eastAsia" w:ascii="黑体" w:hAnsi="黑体" w:eastAsia="黑体"/>
          <w:b/>
          <w:szCs w:val="21"/>
        </w:rPr>
        <w:t>判定规则</w:t>
      </w:r>
    </w:p>
    <w:p w14:paraId="360D33C4">
      <w:pPr>
        <w:adjustRightInd w:val="0"/>
        <w:snapToGrid w:val="0"/>
        <w:spacing w:line="360" w:lineRule="auto"/>
        <w:rPr>
          <w:rFonts w:ascii="宋体"/>
          <w:szCs w:val="28"/>
        </w:rPr>
      </w:pPr>
      <w:r>
        <w:rPr>
          <w:rFonts w:ascii="宋体" w:hAnsi="宋体"/>
          <w:b/>
          <w:color w:val="000000"/>
          <w:szCs w:val="21"/>
        </w:rPr>
        <w:t>3.1</w:t>
      </w:r>
      <w:r>
        <w:rPr>
          <w:rFonts w:hint="eastAsia" w:ascii="宋体" w:hAnsi="宋体"/>
          <w:b/>
          <w:color w:val="000000"/>
          <w:szCs w:val="21"/>
        </w:rPr>
        <w:t>依据标准</w:t>
      </w:r>
    </w:p>
    <w:p w14:paraId="1D719E62">
      <w:pPr>
        <w:adjustRightInd w:val="0"/>
        <w:snapToGrid w:val="0"/>
        <w:spacing w:line="360" w:lineRule="auto"/>
        <w:ind w:firstLine="360" w:firstLineChars="200"/>
        <w:rPr>
          <w:rFonts w:hint="eastAsia" w:ascii="宋体" w:hAnsi="宋体"/>
          <w:szCs w:val="28"/>
          <w:lang w:eastAsia="zh-CN"/>
        </w:rPr>
      </w:pPr>
      <w:r>
        <w:rPr>
          <w:rFonts w:hint="eastAsia" w:ascii="宋体" w:hAnsi="宋体"/>
          <w:bCs/>
          <w:sz w:val="18"/>
          <w:szCs w:val="18"/>
          <w:lang w:val="en-US" w:eastAsia="zh-CN"/>
        </w:rPr>
        <w:t xml:space="preserve"> </w:t>
      </w:r>
      <w:r>
        <w:rPr>
          <w:rFonts w:ascii="宋体" w:hAnsi="宋体"/>
          <w:bCs/>
          <w:sz w:val="18"/>
          <w:szCs w:val="18"/>
        </w:rPr>
        <w:t xml:space="preserve">GB/T </w:t>
      </w:r>
      <w:r>
        <w:rPr>
          <w:rFonts w:hint="eastAsia" w:ascii="宋体" w:hAnsi="宋体"/>
          <w:bCs/>
          <w:sz w:val="18"/>
          <w:szCs w:val="18"/>
          <w:lang w:val="en-US" w:eastAsia="zh-CN"/>
        </w:rPr>
        <w:t>4623-2014</w:t>
      </w:r>
      <w:r>
        <w:rPr>
          <w:rFonts w:ascii="宋体" w:hAnsi="宋体"/>
          <w:szCs w:val="28"/>
        </w:rPr>
        <w:t xml:space="preserve">  </w:t>
      </w:r>
      <w:r>
        <w:rPr>
          <w:rFonts w:hint="eastAsia" w:ascii="宋体" w:hAnsi="宋体"/>
          <w:szCs w:val="28"/>
          <w:lang w:eastAsia="zh-CN"/>
        </w:rPr>
        <w:t>《环形混凝土电杆》</w:t>
      </w:r>
    </w:p>
    <w:p w14:paraId="0AF5F926">
      <w:pPr>
        <w:adjustRightInd w:val="0"/>
        <w:snapToGrid w:val="0"/>
        <w:spacing w:line="360" w:lineRule="auto"/>
        <w:ind w:firstLine="420" w:firstLineChars="200"/>
        <w:rPr>
          <w:rFonts w:ascii="宋体"/>
          <w:szCs w:val="28"/>
        </w:rPr>
      </w:pPr>
      <w:r>
        <w:rPr>
          <w:rFonts w:hint="eastAsia" w:ascii="宋体" w:hAnsi="宋体"/>
          <w:szCs w:val="28"/>
        </w:rPr>
        <w:t>相关的法律、行政法规、部门规章、规范性文件</w:t>
      </w:r>
    </w:p>
    <w:p w14:paraId="3AACED1C">
      <w:pPr>
        <w:adjustRightInd w:val="0"/>
        <w:snapToGrid w:val="0"/>
        <w:spacing w:line="360" w:lineRule="auto"/>
        <w:ind w:firstLine="420" w:firstLineChars="200"/>
        <w:rPr>
          <w:rFonts w:ascii="宋体"/>
          <w:szCs w:val="28"/>
        </w:rPr>
      </w:pPr>
      <w:r>
        <w:rPr>
          <w:rFonts w:hint="eastAsia" w:ascii="宋体" w:hAnsi="宋体"/>
          <w:szCs w:val="28"/>
        </w:rPr>
        <w:t>现行有效的企业标准、团体标准、地方标准及产品明示质量要求</w:t>
      </w:r>
    </w:p>
    <w:p w14:paraId="582D32C5">
      <w:pPr>
        <w:adjustRightInd w:val="0"/>
        <w:snapToGrid w:val="0"/>
        <w:spacing w:line="360" w:lineRule="auto"/>
        <w:rPr>
          <w:rFonts w:ascii="宋体"/>
          <w:b/>
          <w:color w:val="000000"/>
          <w:szCs w:val="21"/>
        </w:rPr>
      </w:pPr>
      <w:r>
        <w:rPr>
          <w:rFonts w:ascii="宋体" w:hAnsi="宋体"/>
          <w:b/>
          <w:color w:val="000000"/>
          <w:szCs w:val="21"/>
        </w:rPr>
        <w:t>3.2</w:t>
      </w:r>
      <w:r>
        <w:rPr>
          <w:rFonts w:hint="eastAsia" w:ascii="宋体" w:hAnsi="宋体"/>
          <w:b/>
          <w:color w:val="000000"/>
          <w:szCs w:val="21"/>
        </w:rPr>
        <w:t>判定原则</w:t>
      </w:r>
    </w:p>
    <w:p w14:paraId="745B8221">
      <w:pPr>
        <w:adjustRightInd w:val="0"/>
        <w:snapToGrid w:val="0"/>
        <w:spacing w:line="360" w:lineRule="auto"/>
        <w:ind w:firstLine="420" w:firstLineChars="200"/>
        <w:rPr>
          <w:rFonts w:ascii="宋体"/>
          <w:szCs w:val="28"/>
        </w:rPr>
      </w:pPr>
      <w:r>
        <w:rPr>
          <w:rFonts w:hint="eastAsia" w:ascii="宋体" w:hAnsi="宋体"/>
          <w:szCs w:val="28"/>
        </w:rPr>
        <w:t>经检验，检验项目全部合格，判定为被抽查产品所检项目未发现不合格；检验项目中任一项或一项以上不合格，判定为被抽查产品不合格。</w:t>
      </w:r>
    </w:p>
    <w:p w14:paraId="7F947AC2">
      <w:pPr>
        <w:adjustRightInd w:val="0"/>
        <w:snapToGrid w:val="0"/>
        <w:spacing w:line="360" w:lineRule="auto"/>
        <w:ind w:firstLine="420" w:firstLineChars="200"/>
        <w:rPr>
          <w:rFonts w:ascii="宋体"/>
          <w:szCs w:val="28"/>
        </w:rPr>
      </w:pPr>
      <w:r>
        <w:rPr>
          <w:rFonts w:hint="eastAsia" w:ascii="宋体" w:hAnsi="宋体"/>
          <w:szCs w:val="28"/>
        </w:rPr>
        <w:t>若被检产品明示的质量要求高于本细则中检验项目依据的标准要求时，应按被检产品明示的质量要求判定。</w:t>
      </w:r>
    </w:p>
    <w:p w14:paraId="49274C2B">
      <w:pPr>
        <w:adjustRightInd w:val="0"/>
        <w:snapToGrid w:val="0"/>
        <w:spacing w:line="360" w:lineRule="auto"/>
        <w:ind w:firstLine="420" w:firstLineChars="200"/>
        <w:rPr>
          <w:rFonts w:ascii="宋体"/>
          <w:szCs w:val="28"/>
        </w:rPr>
      </w:pPr>
      <w:r>
        <w:rPr>
          <w:rFonts w:hint="eastAsia" w:ascii="宋体" w:hAnsi="宋体"/>
          <w:szCs w:val="28"/>
        </w:rPr>
        <w:t>若被检产品明示的质量要求低于本细则中检验项目依据的强制性标准要求时，应按照强制性标准要求判定。</w:t>
      </w:r>
    </w:p>
    <w:p w14:paraId="37E4722E">
      <w:pPr>
        <w:adjustRightInd w:val="0"/>
        <w:snapToGrid w:val="0"/>
        <w:spacing w:line="360" w:lineRule="auto"/>
        <w:ind w:firstLine="420" w:firstLineChars="200"/>
        <w:rPr>
          <w:rFonts w:ascii="宋体"/>
          <w:szCs w:val="28"/>
        </w:rPr>
      </w:pPr>
      <w:r>
        <w:rPr>
          <w:rFonts w:hint="eastAsia" w:ascii="宋体" w:hAnsi="宋体"/>
          <w:szCs w:val="28"/>
        </w:rPr>
        <w:t>若被检产品明示的质量要求低于或包含细则中检验项目依据的推荐性标准要求时，应以被检产品明示的质量要求判定，但应在检验报告备注中进行说明。</w:t>
      </w:r>
    </w:p>
    <w:p w14:paraId="61027061">
      <w:pPr>
        <w:adjustRightInd w:val="0"/>
        <w:snapToGrid w:val="0"/>
        <w:spacing w:line="360" w:lineRule="auto"/>
        <w:ind w:firstLine="420" w:firstLineChars="200"/>
        <w:rPr>
          <w:rFonts w:ascii="宋体"/>
          <w:szCs w:val="28"/>
        </w:rPr>
      </w:pPr>
      <w:r>
        <w:rPr>
          <w:rFonts w:hint="eastAsia" w:ascii="宋体" w:hAnsi="宋体"/>
          <w:szCs w:val="28"/>
        </w:rPr>
        <w:t>若被检产品明示的质量要求缺少本细则中检验项目依据的强制性标准要求时，应按照强制性标准要求判定。</w:t>
      </w:r>
    </w:p>
    <w:p w14:paraId="31E269DF">
      <w:pPr>
        <w:adjustRightInd w:val="0"/>
        <w:snapToGrid w:val="0"/>
        <w:spacing w:line="360" w:lineRule="auto"/>
        <w:ind w:firstLine="420" w:firstLineChars="200"/>
        <w:rPr>
          <w:rFonts w:ascii="宋体"/>
          <w:szCs w:val="28"/>
        </w:rPr>
      </w:pPr>
      <w:r>
        <w:rPr>
          <w:rFonts w:hint="eastAsia" w:ascii="宋体" w:hAnsi="宋体"/>
          <w:szCs w:val="28"/>
        </w:rPr>
        <w:t>若被检产品明示的质量要求缺少本细则中检验项目依据的推荐性标准要求时，该项目不参与判定，但应在检验报告备注中进行说明。</w:t>
      </w:r>
    </w:p>
    <w:p w14:paraId="7E1641EB">
      <w:pPr>
        <w:adjustRightInd w:val="0"/>
        <w:snapToGrid w:val="0"/>
        <w:spacing w:line="360" w:lineRule="auto"/>
        <w:ind w:firstLine="417" w:firstLineChars="199"/>
        <w:rPr>
          <w:rFonts w:ascii="宋体"/>
          <w:color w:val="000000"/>
          <w:szCs w:val="21"/>
        </w:rPr>
      </w:pPr>
      <w:r>
        <w:pict>
          <v:line id="直接连接符 4" o:spid="_x0000_s2052" o:spt="20" style="position:absolute;left:0pt;margin-left:128.4pt;margin-top:4.25pt;height:0pt;width:188.2pt;z-index:251660288;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dVnLQIAADM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">
            <v:path arrowok="t"/>
            <v:fill on="f" focussize="0,0"/>
            <v:stroke color="#000000"/>
            <v:imagedata o:title=""/>
            <o:lock v:ext="edit" aspectratio="f"/>
          </v:line>
        </w:pict>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p>
    <w:sectPr>
      <w:pgSz w:w="11906" w:h="16838"/>
      <w:pgMar w:top="1985" w:right="1361" w:bottom="136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F6C56AF-E037-46F1-A689-D4C03CEF2196}"/>
  </w:font>
  <w:font w:name="黑体">
    <w:panose1 w:val="02010600030101010101"/>
    <w:charset w:val="86"/>
    <w:family w:val="auto"/>
    <w:pitch w:val="default"/>
    <w:sig w:usb0="800002BF" w:usb1="38CF7CFA" w:usb2="00000016" w:usb3="00000000" w:csb0="00040001" w:csb1="00000000"/>
    <w:embedRegular r:id="rId2" w:fontKey="{8E594F1B-2D17-41ED-A225-ABC021E20DD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BookMaker7DlFont70536871171">
    <w:altName w:val="Times New Roman"/>
    <w:panose1 w:val="00000000000000000000"/>
    <w:charset w:val="00"/>
    <w:family w:val="roman"/>
    <w:pitch w:val="default"/>
    <w:sig w:usb0="00000000" w:usb1="00000000" w:usb2="00000000" w:usb3="00000000" w:csb0="00000001" w:csb1="00000000"/>
  </w:font>
  <w:font w:name="FzBookMaker11DlFont110536871175">
    <w:altName w:val="Times New Roman"/>
    <w:panose1 w:val="00000000000000000000"/>
    <w:charset w:val="00"/>
    <w:family w:val="roman"/>
    <w:pitch w:val="default"/>
    <w:sig w:usb0="00000000" w:usb1="00000000" w:usb2="00000000" w:usb3="00000000" w:csb0="00000001" w:csb1="00000000"/>
  </w:font>
  <w:font w:name="FzBookMaker2DlFont20536871173">
    <w:altName w:val="Times New Roman"/>
    <w:panose1 w:val="00000000000000000000"/>
    <w:charset w:val="00"/>
    <w:family w:val="roman"/>
    <w:pitch w:val="default"/>
    <w:sig w:usb0="00000000" w:usb1="00000000" w:usb2="00000000" w:usb3="00000000" w:csb0="00000001"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5871CEA6-907D-4DAD-A23C-DFCE050B406B}"/>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4" w:fontKey="{C792EA9F-7EDD-47F8-86C4-D689F4690A09}"/>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62D21">
    <w:pPr>
      <w:pStyle w:val="6"/>
      <w:jc w:val="center"/>
    </w:pPr>
    <w:r>
      <w:fldChar w:fldCharType="begin"/>
    </w:r>
    <w:r>
      <w:instrText xml:space="preserve"> PAGE   \* MERGEFORMAT </w:instrText>
    </w:r>
    <w:r>
      <w:fldChar w:fldCharType="separate"/>
    </w:r>
    <w:r>
      <w:rPr>
        <w:lang w:val="zh-CN"/>
      </w:rPr>
      <w:t>2</w:t>
    </w:r>
    <w:r>
      <w:rPr>
        <w:lang w:val="zh-CN"/>
      </w:rPr>
      <w:fldChar w:fldCharType="end"/>
    </w:r>
  </w:p>
  <w:p w14:paraId="5378A6D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850B1">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2</w:t>
    </w:r>
    <w:r>
      <w:rPr>
        <w:rStyle w:val="12"/>
      </w:rPr>
      <w:fldChar w:fldCharType="end"/>
    </w:r>
  </w:p>
  <w:p w14:paraId="11C6F439">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6FA5D">
    <w:pPr>
      <w:pStyle w:val="6"/>
    </w:pPr>
  </w:p>
  <w:p w14:paraId="02578F1E">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A28E7">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E4MTIwNzViNzcwZDlhYzI1Mjc2ZGYxZGMzYTcwN2MifQ=="/>
  </w:docVars>
  <w:rsids>
    <w:rsidRoot w:val="00172A27"/>
    <w:rsid w:val="00000B18"/>
    <w:rsid w:val="00006402"/>
    <w:rsid w:val="00012715"/>
    <w:rsid w:val="00021005"/>
    <w:rsid w:val="00023C4E"/>
    <w:rsid w:val="000276A9"/>
    <w:rsid w:val="000304C5"/>
    <w:rsid w:val="0003193A"/>
    <w:rsid w:val="00035064"/>
    <w:rsid w:val="00037D8D"/>
    <w:rsid w:val="0004011D"/>
    <w:rsid w:val="000442ED"/>
    <w:rsid w:val="00051A44"/>
    <w:rsid w:val="00057351"/>
    <w:rsid w:val="00060ECF"/>
    <w:rsid w:val="000623A1"/>
    <w:rsid w:val="000672B7"/>
    <w:rsid w:val="00071001"/>
    <w:rsid w:val="00076F61"/>
    <w:rsid w:val="00081CBD"/>
    <w:rsid w:val="000841A6"/>
    <w:rsid w:val="0009399B"/>
    <w:rsid w:val="000976DE"/>
    <w:rsid w:val="000D0007"/>
    <w:rsid w:val="000D2195"/>
    <w:rsid w:val="000D2C3B"/>
    <w:rsid w:val="000D3759"/>
    <w:rsid w:val="000D45B9"/>
    <w:rsid w:val="000E24C4"/>
    <w:rsid w:val="000F64F9"/>
    <w:rsid w:val="000F6E44"/>
    <w:rsid w:val="000F7E56"/>
    <w:rsid w:val="001035C2"/>
    <w:rsid w:val="00106D82"/>
    <w:rsid w:val="00107ECD"/>
    <w:rsid w:val="00113310"/>
    <w:rsid w:val="00115BC8"/>
    <w:rsid w:val="00115FA1"/>
    <w:rsid w:val="0012168C"/>
    <w:rsid w:val="00122CB7"/>
    <w:rsid w:val="00131D65"/>
    <w:rsid w:val="001427FD"/>
    <w:rsid w:val="001437C2"/>
    <w:rsid w:val="00144CD3"/>
    <w:rsid w:val="00155096"/>
    <w:rsid w:val="0015743B"/>
    <w:rsid w:val="001715A9"/>
    <w:rsid w:val="00172A27"/>
    <w:rsid w:val="00175489"/>
    <w:rsid w:val="001754B1"/>
    <w:rsid w:val="0017795B"/>
    <w:rsid w:val="001809DD"/>
    <w:rsid w:val="00182509"/>
    <w:rsid w:val="001845E3"/>
    <w:rsid w:val="0018638C"/>
    <w:rsid w:val="001A4CAF"/>
    <w:rsid w:val="001A65B0"/>
    <w:rsid w:val="001C1F87"/>
    <w:rsid w:val="001C4F34"/>
    <w:rsid w:val="001C5C52"/>
    <w:rsid w:val="001D1FBC"/>
    <w:rsid w:val="001D36B4"/>
    <w:rsid w:val="001D5C67"/>
    <w:rsid w:val="001D6824"/>
    <w:rsid w:val="001E4729"/>
    <w:rsid w:val="001E4F8B"/>
    <w:rsid w:val="001E670E"/>
    <w:rsid w:val="001F2D1F"/>
    <w:rsid w:val="00210539"/>
    <w:rsid w:val="00220A15"/>
    <w:rsid w:val="00223317"/>
    <w:rsid w:val="00225BB4"/>
    <w:rsid w:val="002448A3"/>
    <w:rsid w:val="00246645"/>
    <w:rsid w:val="00247D1B"/>
    <w:rsid w:val="00253624"/>
    <w:rsid w:val="002710B5"/>
    <w:rsid w:val="00274E3E"/>
    <w:rsid w:val="002825C2"/>
    <w:rsid w:val="00287B95"/>
    <w:rsid w:val="00293B52"/>
    <w:rsid w:val="002A02DD"/>
    <w:rsid w:val="002A6812"/>
    <w:rsid w:val="002A7719"/>
    <w:rsid w:val="002A7D1C"/>
    <w:rsid w:val="002B50E7"/>
    <w:rsid w:val="002D17A5"/>
    <w:rsid w:val="002D3EDC"/>
    <w:rsid w:val="002D48CE"/>
    <w:rsid w:val="002D7F8A"/>
    <w:rsid w:val="002E0D1D"/>
    <w:rsid w:val="002E1EAC"/>
    <w:rsid w:val="002E369A"/>
    <w:rsid w:val="002E68A8"/>
    <w:rsid w:val="002E772A"/>
    <w:rsid w:val="002E7D4F"/>
    <w:rsid w:val="002F49EA"/>
    <w:rsid w:val="00306A87"/>
    <w:rsid w:val="00311DD2"/>
    <w:rsid w:val="003203A3"/>
    <w:rsid w:val="003222A6"/>
    <w:rsid w:val="00344156"/>
    <w:rsid w:val="00370830"/>
    <w:rsid w:val="00371567"/>
    <w:rsid w:val="00375E4A"/>
    <w:rsid w:val="00376283"/>
    <w:rsid w:val="00382F69"/>
    <w:rsid w:val="00391B0E"/>
    <w:rsid w:val="0039208F"/>
    <w:rsid w:val="00392A15"/>
    <w:rsid w:val="00393EB1"/>
    <w:rsid w:val="003A0D0D"/>
    <w:rsid w:val="003A1E75"/>
    <w:rsid w:val="003A6C26"/>
    <w:rsid w:val="003B226D"/>
    <w:rsid w:val="003C3420"/>
    <w:rsid w:val="003C388C"/>
    <w:rsid w:val="003C4CFD"/>
    <w:rsid w:val="003C6F9C"/>
    <w:rsid w:val="003D0118"/>
    <w:rsid w:val="003D4282"/>
    <w:rsid w:val="003E4890"/>
    <w:rsid w:val="003E61BF"/>
    <w:rsid w:val="0040154B"/>
    <w:rsid w:val="00403C47"/>
    <w:rsid w:val="004074E8"/>
    <w:rsid w:val="00427D8E"/>
    <w:rsid w:val="004333BE"/>
    <w:rsid w:val="004404E5"/>
    <w:rsid w:val="00441CD2"/>
    <w:rsid w:val="00442A9A"/>
    <w:rsid w:val="00445E86"/>
    <w:rsid w:val="00453259"/>
    <w:rsid w:val="00453387"/>
    <w:rsid w:val="00456D8D"/>
    <w:rsid w:val="00457A50"/>
    <w:rsid w:val="00474E04"/>
    <w:rsid w:val="004820E0"/>
    <w:rsid w:val="00490A9C"/>
    <w:rsid w:val="004A2393"/>
    <w:rsid w:val="004A29CE"/>
    <w:rsid w:val="004A4293"/>
    <w:rsid w:val="004C04CE"/>
    <w:rsid w:val="004C467E"/>
    <w:rsid w:val="004D0C5A"/>
    <w:rsid w:val="004D0E11"/>
    <w:rsid w:val="004D25D5"/>
    <w:rsid w:val="004D3D41"/>
    <w:rsid w:val="004E1396"/>
    <w:rsid w:val="004E1F92"/>
    <w:rsid w:val="004E6582"/>
    <w:rsid w:val="004F23B6"/>
    <w:rsid w:val="004F4DF1"/>
    <w:rsid w:val="00500627"/>
    <w:rsid w:val="00501810"/>
    <w:rsid w:val="00515553"/>
    <w:rsid w:val="005160B2"/>
    <w:rsid w:val="00520E09"/>
    <w:rsid w:val="00521300"/>
    <w:rsid w:val="00530363"/>
    <w:rsid w:val="005317D6"/>
    <w:rsid w:val="005423FF"/>
    <w:rsid w:val="005431BD"/>
    <w:rsid w:val="00546B84"/>
    <w:rsid w:val="00550747"/>
    <w:rsid w:val="005523B4"/>
    <w:rsid w:val="0055330F"/>
    <w:rsid w:val="00557DE8"/>
    <w:rsid w:val="005608C8"/>
    <w:rsid w:val="00560BA9"/>
    <w:rsid w:val="00563EBC"/>
    <w:rsid w:val="00576C0D"/>
    <w:rsid w:val="00577212"/>
    <w:rsid w:val="005909A6"/>
    <w:rsid w:val="0059437C"/>
    <w:rsid w:val="005A3370"/>
    <w:rsid w:val="005A492D"/>
    <w:rsid w:val="005A62EF"/>
    <w:rsid w:val="005B210F"/>
    <w:rsid w:val="005C50E3"/>
    <w:rsid w:val="005C7F5D"/>
    <w:rsid w:val="005D5EFF"/>
    <w:rsid w:val="005E6344"/>
    <w:rsid w:val="005E74D9"/>
    <w:rsid w:val="005F222B"/>
    <w:rsid w:val="005F3116"/>
    <w:rsid w:val="006043EF"/>
    <w:rsid w:val="00612160"/>
    <w:rsid w:val="006226EA"/>
    <w:rsid w:val="006241C7"/>
    <w:rsid w:val="00627861"/>
    <w:rsid w:val="00627B95"/>
    <w:rsid w:val="00634B49"/>
    <w:rsid w:val="00643C90"/>
    <w:rsid w:val="006456DE"/>
    <w:rsid w:val="0065091F"/>
    <w:rsid w:val="0065424C"/>
    <w:rsid w:val="006617E9"/>
    <w:rsid w:val="00664DE7"/>
    <w:rsid w:val="006661AC"/>
    <w:rsid w:val="0067489B"/>
    <w:rsid w:val="006754EA"/>
    <w:rsid w:val="00683994"/>
    <w:rsid w:val="00696D8F"/>
    <w:rsid w:val="006A0617"/>
    <w:rsid w:val="006A0D1B"/>
    <w:rsid w:val="006A4981"/>
    <w:rsid w:val="006B091E"/>
    <w:rsid w:val="006B1E8C"/>
    <w:rsid w:val="006B3511"/>
    <w:rsid w:val="006B4E28"/>
    <w:rsid w:val="006B67F1"/>
    <w:rsid w:val="006B7ACD"/>
    <w:rsid w:val="006C13D2"/>
    <w:rsid w:val="006C2301"/>
    <w:rsid w:val="006D16E2"/>
    <w:rsid w:val="006D268B"/>
    <w:rsid w:val="006E352B"/>
    <w:rsid w:val="006E507D"/>
    <w:rsid w:val="006E67B2"/>
    <w:rsid w:val="006F0971"/>
    <w:rsid w:val="006F23D7"/>
    <w:rsid w:val="007035AB"/>
    <w:rsid w:val="007064E0"/>
    <w:rsid w:val="007076A7"/>
    <w:rsid w:val="0071152C"/>
    <w:rsid w:val="0071301C"/>
    <w:rsid w:val="00713F1D"/>
    <w:rsid w:val="00720D95"/>
    <w:rsid w:val="00721C12"/>
    <w:rsid w:val="0072334C"/>
    <w:rsid w:val="007322DF"/>
    <w:rsid w:val="0073789D"/>
    <w:rsid w:val="00740BD6"/>
    <w:rsid w:val="0074174D"/>
    <w:rsid w:val="007428C6"/>
    <w:rsid w:val="00744A0C"/>
    <w:rsid w:val="007473E4"/>
    <w:rsid w:val="00754D56"/>
    <w:rsid w:val="00756A15"/>
    <w:rsid w:val="0076091D"/>
    <w:rsid w:val="007626BB"/>
    <w:rsid w:val="00762707"/>
    <w:rsid w:val="00762F32"/>
    <w:rsid w:val="00764B44"/>
    <w:rsid w:val="00765F1D"/>
    <w:rsid w:val="00771074"/>
    <w:rsid w:val="00785F6C"/>
    <w:rsid w:val="00796065"/>
    <w:rsid w:val="007A3118"/>
    <w:rsid w:val="007B0C75"/>
    <w:rsid w:val="007B1C42"/>
    <w:rsid w:val="007B3BBD"/>
    <w:rsid w:val="007C1867"/>
    <w:rsid w:val="007C6565"/>
    <w:rsid w:val="007D4454"/>
    <w:rsid w:val="007D5622"/>
    <w:rsid w:val="007E4A72"/>
    <w:rsid w:val="007E57F6"/>
    <w:rsid w:val="007F26B4"/>
    <w:rsid w:val="00803103"/>
    <w:rsid w:val="0080654F"/>
    <w:rsid w:val="008121A2"/>
    <w:rsid w:val="0081453E"/>
    <w:rsid w:val="00815C30"/>
    <w:rsid w:val="00832480"/>
    <w:rsid w:val="0083350B"/>
    <w:rsid w:val="00833A7C"/>
    <w:rsid w:val="00835F10"/>
    <w:rsid w:val="0084366D"/>
    <w:rsid w:val="00854F6E"/>
    <w:rsid w:val="00865D04"/>
    <w:rsid w:val="00875457"/>
    <w:rsid w:val="00883103"/>
    <w:rsid w:val="00884C24"/>
    <w:rsid w:val="00895BEA"/>
    <w:rsid w:val="008A0055"/>
    <w:rsid w:val="008A0FF4"/>
    <w:rsid w:val="008A3497"/>
    <w:rsid w:val="008A3CC9"/>
    <w:rsid w:val="008A5AF6"/>
    <w:rsid w:val="008A5D98"/>
    <w:rsid w:val="008B69C6"/>
    <w:rsid w:val="008B6AA6"/>
    <w:rsid w:val="008D2366"/>
    <w:rsid w:val="008E32F0"/>
    <w:rsid w:val="008E5B49"/>
    <w:rsid w:val="008E73EC"/>
    <w:rsid w:val="008E73FB"/>
    <w:rsid w:val="008F2CA7"/>
    <w:rsid w:val="009055F7"/>
    <w:rsid w:val="00916A9A"/>
    <w:rsid w:val="00916DA0"/>
    <w:rsid w:val="00917A54"/>
    <w:rsid w:val="00920717"/>
    <w:rsid w:val="00921D0C"/>
    <w:rsid w:val="00923ED3"/>
    <w:rsid w:val="009339AE"/>
    <w:rsid w:val="00936209"/>
    <w:rsid w:val="009365BE"/>
    <w:rsid w:val="00942D8C"/>
    <w:rsid w:val="009439DD"/>
    <w:rsid w:val="0094409B"/>
    <w:rsid w:val="009443F6"/>
    <w:rsid w:val="0096571F"/>
    <w:rsid w:val="009659A3"/>
    <w:rsid w:val="00972E10"/>
    <w:rsid w:val="00973B12"/>
    <w:rsid w:val="00980D7B"/>
    <w:rsid w:val="00981D9D"/>
    <w:rsid w:val="00985E07"/>
    <w:rsid w:val="00986872"/>
    <w:rsid w:val="00991143"/>
    <w:rsid w:val="00992BA6"/>
    <w:rsid w:val="009950CE"/>
    <w:rsid w:val="00995EFE"/>
    <w:rsid w:val="00996FEC"/>
    <w:rsid w:val="009A15C9"/>
    <w:rsid w:val="009A44C8"/>
    <w:rsid w:val="009B5017"/>
    <w:rsid w:val="009B5EF0"/>
    <w:rsid w:val="009D29B0"/>
    <w:rsid w:val="009D29FE"/>
    <w:rsid w:val="009D346B"/>
    <w:rsid w:val="009D7B49"/>
    <w:rsid w:val="009E152A"/>
    <w:rsid w:val="009E157F"/>
    <w:rsid w:val="009E73FD"/>
    <w:rsid w:val="009F036B"/>
    <w:rsid w:val="009F265F"/>
    <w:rsid w:val="009F5016"/>
    <w:rsid w:val="009F6B32"/>
    <w:rsid w:val="00A04235"/>
    <w:rsid w:val="00A05B06"/>
    <w:rsid w:val="00A07BE3"/>
    <w:rsid w:val="00A20994"/>
    <w:rsid w:val="00A255C2"/>
    <w:rsid w:val="00A376F5"/>
    <w:rsid w:val="00A37F61"/>
    <w:rsid w:val="00A43553"/>
    <w:rsid w:val="00A50B10"/>
    <w:rsid w:val="00A55A75"/>
    <w:rsid w:val="00A62B41"/>
    <w:rsid w:val="00A675D2"/>
    <w:rsid w:val="00A725DC"/>
    <w:rsid w:val="00A73AFA"/>
    <w:rsid w:val="00A80B31"/>
    <w:rsid w:val="00A821C6"/>
    <w:rsid w:val="00A8284B"/>
    <w:rsid w:val="00A8778B"/>
    <w:rsid w:val="00A95167"/>
    <w:rsid w:val="00A976C3"/>
    <w:rsid w:val="00AA04ED"/>
    <w:rsid w:val="00AA2B3B"/>
    <w:rsid w:val="00AA2BE0"/>
    <w:rsid w:val="00AA3905"/>
    <w:rsid w:val="00AA5A4E"/>
    <w:rsid w:val="00AB454C"/>
    <w:rsid w:val="00AB47A2"/>
    <w:rsid w:val="00AC2C98"/>
    <w:rsid w:val="00AC4183"/>
    <w:rsid w:val="00AC6A4A"/>
    <w:rsid w:val="00AD1654"/>
    <w:rsid w:val="00AD5446"/>
    <w:rsid w:val="00AE199C"/>
    <w:rsid w:val="00AE6407"/>
    <w:rsid w:val="00AE7281"/>
    <w:rsid w:val="00B03AD3"/>
    <w:rsid w:val="00B03F44"/>
    <w:rsid w:val="00B052CD"/>
    <w:rsid w:val="00B07D2D"/>
    <w:rsid w:val="00B10B8A"/>
    <w:rsid w:val="00B11A9D"/>
    <w:rsid w:val="00B11F7B"/>
    <w:rsid w:val="00B12169"/>
    <w:rsid w:val="00B12D9E"/>
    <w:rsid w:val="00B150B3"/>
    <w:rsid w:val="00B1607C"/>
    <w:rsid w:val="00B17C91"/>
    <w:rsid w:val="00B21ADC"/>
    <w:rsid w:val="00B23950"/>
    <w:rsid w:val="00B37BD1"/>
    <w:rsid w:val="00B40DD7"/>
    <w:rsid w:val="00B4421F"/>
    <w:rsid w:val="00B512B6"/>
    <w:rsid w:val="00B5192F"/>
    <w:rsid w:val="00B6027C"/>
    <w:rsid w:val="00B60FC4"/>
    <w:rsid w:val="00B64ECB"/>
    <w:rsid w:val="00B71D32"/>
    <w:rsid w:val="00B913CF"/>
    <w:rsid w:val="00B9297F"/>
    <w:rsid w:val="00B92EA8"/>
    <w:rsid w:val="00B96506"/>
    <w:rsid w:val="00B96722"/>
    <w:rsid w:val="00BA29DB"/>
    <w:rsid w:val="00BA39E8"/>
    <w:rsid w:val="00BA444C"/>
    <w:rsid w:val="00BC0F3D"/>
    <w:rsid w:val="00BC11AA"/>
    <w:rsid w:val="00BC2570"/>
    <w:rsid w:val="00BC3E34"/>
    <w:rsid w:val="00BC6101"/>
    <w:rsid w:val="00BD46C8"/>
    <w:rsid w:val="00BD48D8"/>
    <w:rsid w:val="00BD5E15"/>
    <w:rsid w:val="00BF04E2"/>
    <w:rsid w:val="00BF2499"/>
    <w:rsid w:val="00BF4455"/>
    <w:rsid w:val="00C03A09"/>
    <w:rsid w:val="00C04BB6"/>
    <w:rsid w:val="00C064F4"/>
    <w:rsid w:val="00C106D7"/>
    <w:rsid w:val="00C11645"/>
    <w:rsid w:val="00C14F93"/>
    <w:rsid w:val="00C158F1"/>
    <w:rsid w:val="00C24760"/>
    <w:rsid w:val="00C26074"/>
    <w:rsid w:val="00C353D5"/>
    <w:rsid w:val="00C5014D"/>
    <w:rsid w:val="00C52ED0"/>
    <w:rsid w:val="00C54BC5"/>
    <w:rsid w:val="00C54FB2"/>
    <w:rsid w:val="00C749FE"/>
    <w:rsid w:val="00C75387"/>
    <w:rsid w:val="00C77CE3"/>
    <w:rsid w:val="00C83B0A"/>
    <w:rsid w:val="00C871A1"/>
    <w:rsid w:val="00C92162"/>
    <w:rsid w:val="00C94824"/>
    <w:rsid w:val="00C95ACB"/>
    <w:rsid w:val="00C9608B"/>
    <w:rsid w:val="00CA1006"/>
    <w:rsid w:val="00CB0A67"/>
    <w:rsid w:val="00CB4CFB"/>
    <w:rsid w:val="00CC3BFE"/>
    <w:rsid w:val="00CC3F7B"/>
    <w:rsid w:val="00CC7DB2"/>
    <w:rsid w:val="00CD0BD6"/>
    <w:rsid w:val="00CE09EF"/>
    <w:rsid w:val="00CE1E0C"/>
    <w:rsid w:val="00CE277E"/>
    <w:rsid w:val="00CE387D"/>
    <w:rsid w:val="00CE3A7F"/>
    <w:rsid w:val="00CF0881"/>
    <w:rsid w:val="00CF146B"/>
    <w:rsid w:val="00CF3A49"/>
    <w:rsid w:val="00CF527F"/>
    <w:rsid w:val="00CF6662"/>
    <w:rsid w:val="00D02A45"/>
    <w:rsid w:val="00D15D3E"/>
    <w:rsid w:val="00D1658A"/>
    <w:rsid w:val="00D31AD0"/>
    <w:rsid w:val="00D3333B"/>
    <w:rsid w:val="00D33DCC"/>
    <w:rsid w:val="00D356AC"/>
    <w:rsid w:val="00D45E0D"/>
    <w:rsid w:val="00D56867"/>
    <w:rsid w:val="00D65C59"/>
    <w:rsid w:val="00D66629"/>
    <w:rsid w:val="00D72638"/>
    <w:rsid w:val="00D76329"/>
    <w:rsid w:val="00D84229"/>
    <w:rsid w:val="00D90D2F"/>
    <w:rsid w:val="00D9145F"/>
    <w:rsid w:val="00D9632F"/>
    <w:rsid w:val="00DA06A4"/>
    <w:rsid w:val="00DB6E0E"/>
    <w:rsid w:val="00DC19FC"/>
    <w:rsid w:val="00DC6844"/>
    <w:rsid w:val="00DC7251"/>
    <w:rsid w:val="00DE55E6"/>
    <w:rsid w:val="00DE5A74"/>
    <w:rsid w:val="00DF135C"/>
    <w:rsid w:val="00DF183C"/>
    <w:rsid w:val="00DF1849"/>
    <w:rsid w:val="00DF5C6C"/>
    <w:rsid w:val="00DF7CCC"/>
    <w:rsid w:val="00E02A7F"/>
    <w:rsid w:val="00E02F33"/>
    <w:rsid w:val="00E04433"/>
    <w:rsid w:val="00E07880"/>
    <w:rsid w:val="00E10BE9"/>
    <w:rsid w:val="00E17EDE"/>
    <w:rsid w:val="00E20DE0"/>
    <w:rsid w:val="00E20E35"/>
    <w:rsid w:val="00E22B6C"/>
    <w:rsid w:val="00E24D95"/>
    <w:rsid w:val="00E601F3"/>
    <w:rsid w:val="00E611F3"/>
    <w:rsid w:val="00E632FA"/>
    <w:rsid w:val="00E66936"/>
    <w:rsid w:val="00E753E6"/>
    <w:rsid w:val="00E75A19"/>
    <w:rsid w:val="00E82621"/>
    <w:rsid w:val="00E82AA9"/>
    <w:rsid w:val="00E85E2F"/>
    <w:rsid w:val="00E94312"/>
    <w:rsid w:val="00E974E0"/>
    <w:rsid w:val="00EB0083"/>
    <w:rsid w:val="00EB023B"/>
    <w:rsid w:val="00EB22EC"/>
    <w:rsid w:val="00EB2BD1"/>
    <w:rsid w:val="00EB353C"/>
    <w:rsid w:val="00EB6821"/>
    <w:rsid w:val="00EC01EC"/>
    <w:rsid w:val="00EC13CB"/>
    <w:rsid w:val="00ED0164"/>
    <w:rsid w:val="00ED33A1"/>
    <w:rsid w:val="00EE2F85"/>
    <w:rsid w:val="00EE53BC"/>
    <w:rsid w:val="00EF31B9"/>
    <w:rsid w:val="00EF3A61"/>
    <w:rsid w:val="00F01BEC"/>
    <w:rsid w:val="00F030E4"/>
    <w:rsid w:val="00F063E3"/>
    <w:rsid w:val="00F12212"/>
    <w:rsid w:val="00F32376"/>
    <w:rsid w:val="00F370D1"/>
    <w:rsid w:val="00F37923"/>
    <w:rsid w:val="00F41F1B"/>
    <w:rsid w:val="00F44DBE"/>
    <w:rsid w:val="00F51B27"/>
    <w:rsid w:val="00F5233C"/>
    <w:rsid w:val="00F572D7"/>
    <w:rsid w:val="00F6498A"/>
    <w:rsid w:val="00F721D8"/>
    <w:rsid w:val="00F73B94"/>
    <w:rsid w:val="00F77C9A"/>
    <w:rsid w:val="00F9167B"/>
    <w:rsid w:val="00F9402A"/>
    <w:rsid w:val="00F942DA"/>
    <w:rsid w:val="00F9792E"/>
    <w:rsid w:val="00FA33D1"/>
    <w:rsid w:val="00FA72DA"/>
    <w:rsid w:val="00FB2570"/>
    <w:rsid w:val="00FB576C"/>
    <w:rsid w:val="00FC2D9F"/>
    <w:rsid w:val="00FD2AA6"/>
    <w:rsid w:val="00FD40B4"/>
    <w:rsid w:val="00FD5A2A"/>
    <w:rsid w:val="00FE61E5"/>
    <w:rsid w:val="00FE6260"/>
    <w:rsid w:val="00FE746B"/>
    <w:rsid w:val="00FE7E8A"/>
    <w:rsid w:val="00FF477D"/>
    <w:rsid w:val="026E6DDD"/>
    <w:rsid w:val="041B280B"/>
    <w:rsid w:val="06137661"/>
    <w:rsid w:val="07583D71"/>
    <w:rsid w:val="080F4DB8"/>
    <w:rsid w:val="085C50C7"/>
    <w:rsid w:val="09EB714C"/>
    <w:rsid w:val="0B7A69B0"/>
    <w:rsid w:val="0D222E5C"/>
    <w:rsid w:val="0E64514D"/>
    <w:rsid w:val="0E6C5A3B"/>
    <w:rsid w:val="0F4A7D3F"/>
    <w:rsid w:val="0FDA7A1E"/>
    <w:rsid w:val="13EC39BC"/>
    <w:rsid w:val="14D103C6"/>
    <w:rsid w:val="17797B1C"/>
    <w:rsid w:val="17F65611"/>
    <w:rsid w:val="18E67433"/>
    <w:rsid w:val="19A2504A"/>
    <w:rsid w:val="19BE3706"/>
    <w:rsid w:val="1AD97324"/>
    <w:rsid w:val="1B310649"/>
    <w:rsid w:val="1B495A57"/>
    <w:rsid w:val="1BA004BA"/>
    <w:rsid w:val="1BAC7F86"/>
    <w:rsid w:val="1C643BEC"/>
    <w:rsid w:val="1C925E48"/>
    <w:rsid w:val="20842C4B"/>
    <w:rsid w:val="20C1574F"/>
    <w:rsid w:val="20CA13E8"/>
    <w:rsid w:val="210C1A01"/>
    <w:rsid w:val="21271E30"/>
    <w:rsid w:val="22042D93"/>
    <w:rsid w:val="22A70FE7"/>
    <w:rsid w:val="25901ED5"/>
    <w:rsid w:val="26F7280B"/>
    <w:rsid w:val="27EE2B60"/>
    <w:rsid w:val="28164F13"/>
    <w:rsid w:val="282835C4"/>
    <w:rsid w:val="29E61FAF"/>
    <w:rsid w:val="2A520044"/>
    <w:rsid w:val="2B17042D"/>
    <w:rsid w:val="2E8A531F"/>
    <w:rsid w:val="2FAC0992"/>
    <w:rsid w:val="308675AA"/>
    <w:rsid w:val="32764F2C"/>
    <w:rsid w:val="33487E46"/>
    <w:rsid w:val="33DD495B"/>
    <w:rsid w:val="3477445E"/>
    <w:rsid w:val="35F04FF6"/>
    <w:rsid w:val="385579D8"/>
    <w:rsid w:val="3BA713EC"/>
    <w:rsid w:val="3C1934F8"/>
    <w:rsid w:val="3C4B3800"/>
    <w:rsid w:val="3C86541C"/>
    <w:rsid w:val="3E6E32C4"/>
    <w:rsid w:val="3ED25BE0"/>
    <w:rsid w:val="3ED454B4"/>
    <w:rsid w:val="3F80388E"/>
    <w:rsid w:val="4084196B"/>
    <w:rsid w:val="409621F3"/>
    <w:rsid w:val="409969B6"/>
    <w:rsid w:val="41263FC1"/>
    <w:rsid w:val="43EE7018"/>
    <w:rsid w:val="45F442A6"/>
    <w:rsid w:val="47393F80"/>
    <w:rsid w:val="4867383D"/>
    <w:rsid w:val="4AEF19A4"/>
    <w:rsid w:val="4BB74194"/>
    <w:rsid w:val="4BEC1766"/>
    <w:rsid w:val="4C224BFA"/>
    <w:rsid w:val="4CAD39C5"/>
    <w:rsid w:val="4D110D1B"/>
    <w:rsid w:val="4DA60964"/>
    <w:rsid w:val="4DAB40F0"/>
    <w:rsid w:val="4DFA2A5E"/>
    <w:rsid w:val="4E4D25BD"/>
    <w:rsid w:val="4F891FE9"/>
    <w:rsid w:val="50052A51"/>
    <w:rsid w:val="52133DDD"/>
    <w:rsid w:val="529B7264"/>
    <w:rsid w:val="56921A85"/>
    <w:rsid w:val="56A3467A"/>
    <w:rsid w:val="59EC3BA2"/>
    <w:rsid w:val="5A522FD2"/>
    <w:rsid w:val="5A934AAF"/>
    <w:rsid w:val="5AED1980"/>
    <w:rsid w:val="5BBA55DA"/>
    <w:rsid w:val="5C313AEE"/>
    <w:rsid w:val="5E565A8E"/>
    <w:rsid w:val="60387B56"/>
    <w:rsid w:val="608A4A37"/>
    <w:rsid w:val="62A10094"/>
    <w:rsid w:val="63253C81"/>
    <w:rsid w:val="6493288D"/>
    <w:rsid w:val="657D1B52"/>
    <w:rsid w:val="65F853C2"/>
    <w:rsid w:val="67A60A5B"/>
    <w:rsid w:val="67D068B1"/>
    <w:rsid w:val="68FF6BAB"/>
    <w:rsid w:val="6900148E"/>
    <w:rsid w:val="69C91440"/>
    <w:rsid w:val="6A1C6093"/>
    <w:rsid w:val="6C2733E7"/>
    <w:rsid w:val="6C6B0957"/>
    <w:rsid w:val="6E3B25AB"/>
    <w:rsid w:val="6E55366C"/>
    <w:rsid w:val="6F347726"/>
    <w:rsid w:val="70253370"/>
    <w:rsid w:val="70FA499F"/>
    <w:rsid w:val="73BE3A62"/>
    <w:rsid w:val="73D61F49"/>
    <w:rsid w:val="755271FF"/>
    <w:rsid w:val="75D45D5F"/>
    <w:rsid w:val="765D7E8B"/>
    <w:rsid w:val="76701532"/>
    <w:rsid w:val="7789093C"/>
    <w:rsid w:val="7AD65B35"/>
    <w:rsid w:val="7B2E3D9A"/>
    <w:rsid w:val="7B3A4316"/>
    <w:rsid w:val="7B3D3E06"/>
    <w:rsid w:val="7D733B0F"/>
    <w:rsid w:val="7E490D14"/>
    <w:rsid w:val="7E89659A"/>
    <w:rsid w:val="7EE12CFA"/>
    <w:rsid w:val="7F1E5CF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qFormat="1" w:unhideWhenUsed="0" w:uiPriority="99" w:semiHidden="0" w:name="Block Text"/>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99"/>
    <w:pPr>
      <w:jc w:val="left"/>
    </w:pPr>
  </w:style>
  <w:style w:type="paragraph" w:styleId="3">
    <w:name w:val="Block Text"/>
    <w:basedOn w:val="1"/>
    <w:qFormat/>
    <w:uiPriority w:val="99"/>
    <w:pPr>
      <w:widowControl/>
      <w:spacing w:before="100" w:beforeAutospacing="1" w:after="100" w:afterAutospacing="1"/>
      <w:jc w:val="left"/>
    </w:pPr>
    <w:rPr>
      <w:rFonts w:ascii="宋体" w:hAnsi="宋体" w:cs="宋体"/>
      <w:kern w:val="0"/>
      <w:sz w:val="24"/>
    </w:rPr>
  </w:style>
  <w:style w:type="paragraph" w:styleId="4">
    <w:name w:val="Date"/>
    <w:basedOn w:val="1"/>
    <w:next w:val="1"/>
    <w:link w:val="15"/>
    <w:qFormat/>
    <w:uiPriority w:val="99"/>
    <w:pPr>
      <w:ind w:left="100" w:leftChars="2500"/>
    </w:pPr>
  </w:style>
  <w:style w:type="paragraph" w:styleId="5">
    <w:name w:val="Balloon Text"/>
    <w:basedOn w:val="1"/>
    <w:link w:val="16"/>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19"/>
    <w:semiHidden/>
    <w:qFormat/>
    <w:uiPriority w:val="99"/>
    <w:rPr>
      <w:b/>
      <w:bCs/>
    </w:rPr>
  </w:style>
  <w:style w:type="table" w:styleId="10">
    <w:name w:val="Table Grid"/>
    <w:basedOn w:val="9"/>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page number"/>
    <w:basedOn w:val="11"/>
    <w:qFormat/>
    <w:uiPriority w:val="99"/>
    <w:rPr>
      <w:rFonts w:cs="Times New Roman"/>
    </w:rPr>
  </w:style>
  <w:style w:type="character" w:styleId="13">
    <w:name w:val="annotation reference"/>
    <w:basedOn w:val="11"/>
    <w:qFormat/>
    <w:uiPriority w:val="99"/>
    <w:rPr>
      <w:rFonts w:cs="Times New Roman"/>
      <w:sz w:val="21"/>
    </w:rPr>
  </w:style>
  <w:style w:type="character" w:customStyle="1" w:styleId="14">
    <w:name w:val="Comment Text Char"/>
    <w:basedOn w:val="11"/>
    <w:link w:val="2"/>
    <w:semiHidden/>
    <w:qFormat/>
    <w:locked/>
    <w:uiPriority w:val="99"/>
    <w:rPr>
      <w:rFonts w:cs="Times New Roman"/>
      <w:kern w:val="2"/>
      <w:sz w:val="24"/>
    </w:rPr>
  </w:style>
  <w:style w:type="character" w:customStyle="1" w:styleId="15">
    <w:name w:val="Date Char"/>
    <w:basedOn w:val="11"/>
    <w:link w:val="4"/>
    <w:semiHidden/>
    <w:qFormat/>
    <w:locked/>
    <w:uiPriority w:val="99"/>
    <w:rPr>
      <w:rFonts w:cs="Times New Roman"/>
      <w:kern w:val="2"/>
      <w:sz w:val="24"/>
    </w:rPr>
  </w:style>
  <w:style w:type="character" w:customStyle="1" w:styleId="16">
    <w:name w:val="Balloon Text Char"/>
    <w:basedOn w:val="11"/>
    <w:link w:val="5"/>
    <w:semiHidden/>
    <w:qFormat/>
    <w:locked/>
    <w:uiPriority w:val="99"/>
    <w:rPr>
      <w:rFonts w:cs="Times New Roman"/>
      <w:kern w:val="2"/>
      <w:sz w:val="18"/>
    </w:rPr>
  </w:style>
  <w:style w:type="character" w:customStyle="1" w:styleId="17">
    <w:name w:val="Footer Char"/>
    <w:basedOn w:val="11"/>
    <w:link w:val="6"/>
    <w:qFormat/>
    <w:locked/>
    <w:uiPriority w:val="99"/>
    <w:rPr>
      <w:rFonts w:cs="Times New Roman"/>
      <w:kern w:val="2"/>
      <w:sz w:val="18"/>
    </w:rPr>
  </w:style>
  <w:style w:type="character" w:customStyle="1" w:styleId="18">
    <w:name w:val="Header Char"/>
    <w:basedOn w:val="11"/>
    <w:link w:val="7"/>
    <w:semiHidden/>
    <w:qFormat/>
    <w:locked/>
    <w:uiPriority w:val="99"/>
    <w:rPr>
      <w:rFonts w:cs="Times New Roman"/>
      <w:kern w:val="2"/>
      <w:sz w:val="18"/>
    </w:rPr>
  </w:style>
  <w:style w:type="character" w:customStyle="1" w:styleId="19">
    <w:name w:val="Comment Subject Char"/>
    <w:basedOn w:val="14"/>
    <w:link w:val="8"/>
    <w:semiHidden/>
    <w:qFormat/>
    <w:locked/>
    <w:uiPriority w:val="99"/>
    <w:rPr>
      <w:b/>
      <w:bCs/>
      <w:szCs w:val="24"/>
    </w:rPr>
  </w:style>
  <w:style w:type="character" w:customStyle="1" w:styleId="20">
    <w:name w:val="highlight"/>
    <w:basedOn w:val="11"/>
    <w:qFormat/>
    <w:uiPriority w:val="99"/>
    <w:rPr>
      <w:rFonts w:cs="Times New Roman"/>
    </w:rPr>
  </w:style>
  <w:style w:type="paragraph" w:customStyle="1" w:styleId="21">
    <w:name w:val="列出段落1"/>
    <w:basedOn w:val="1"/>
    <w:qFormat/>
    <w:uiPriority w:val="99"/>
    <w:pPr>
      <w:ind w:firstLine="420" w:firstLineChars="200"/>
    </w:pPr>
    <w:rPr>
      <w:rFonts w:ascii="Calibri" w:hAnsi="Calibri"/>
      <w:szCs w:val="22"/>
    </w:rPr>
  </w:style>
  <w:style w:type="character" w:customStyle="1" w:styleId="22">
    <w:name w:val="fontstyle01"/>
    <w:basedOn w:val="11"/>
    <w:qFormat/>
    <w:uiPriority w:val="99"/>
    <w:rPr>
      <w:rFonts w:ascii="FzBookMaker7DlFont70536871171" w:hAnsi="FzBookMaker7DlFont70536871171" w:cs="Times New Roman"/>
      <w:color w:val="000000"/>
      <w:sz w:val="20"/>
      <w:szCs w:val="20"/>
    </w:rPr>
  </w:style>
  <w:style w:type="character" w:customStyle="1" w:styleId="23">
    <w:name w:val="fontstyle11"/>
    <w:basedOn w:val="11"/>
    <w:qFormat/>
    <w:uiPriority w:val="99"/>
    <w:rPr>
      <w:rFonts w:ascii="FzBookMaker11DlFont110536871175" w:hAnsi="FzBookMaker11DlFont110536871175" w:cs="Times New Roman"/>
      <w:color w:val="000000"/>
      <w:sz w:val="20"/>
      <w:szCs w:val="20"/>
    </w:rPr>
  </w:style>
  <w:style w:type="character" w:customStyle="1" w:styleId="24">
    <w:name w:val="fontstyle21"/>
    <w:basedOn w:val="11"/>
    <w:qFormat/>
    <w:uiPriority w:val="99"/>
    <w:rPr>
      <w:rFonts w:ascii="FzBookMaker2DlFont20536871173" w:hAnsi="FzBookMaker2DlFont20536871173" w:cs="Times New Roman"/>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Legend (Beijing) Limited</Company>
  <Pages>3</Pages>
  <Words>798</Words>
  <Characters>881</Characters>
  <Lines>0</Lines>
  <Paragraphs>0</Paragraphs>
  <TotalTime>0</TotalTime>
  <ScaleCrop>false</ScaleCrop>
  <LinksUpToDate>false</LinksUpToDate>
  <CharactersWithSpaces>940</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2021-03-26T11:29:00Z</dcterms:created>
  <dc:creator>Legend User</dc:creator>
  <cp:lastModifiedBy>ZSXJZJ</cp:lastModifiedBy>
  <cp:lastPrinted>2021-07-05T10:43:00Z</cp:lastPrinted>
  <dcterms:modified xsi:type="dcterms:W3CDTF">2025-07-02T08:31:07Z</dcterms:modified>
  <dc:title>××产品质量监督抽查实施细则</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88C612174A634F1885D91D56D851EB2E</vt:lpwstr>
  </property>
  <property fmtid="{D5CDD505-2E9C-101B-9397-08002B2CF9AE}" pid="4" name="KSOTemplateDocerSaveRecord">
    <vt:lpwstr>eyJoZGlkIjoiODJjYTI0ZjM5ODhlMWI5ODAyMDAzYjFhMTE5YmNmYzEiLCJ1c2VySWQiOiIzMjkzNzE3NDgifQ==</vt:lpwstr>
  </property>
</Properties>
</file>