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7540C">
      <w:pPr>
        <w:adjustRightInd w:val="0"/>
        <w:spacing w:line="480" w:lineRule="exact"/>
        <w:rPr>
          <w:rFonts w:eastAsia="黑体"/>
          <w:sz w:val="32"/>
          <w:szCs w:val="32"/>
        </w:rPr>
      </w:pPr>
      <w:r>
        <w:rPr>
          <w:rFonts w:eastAsia="黑体"/>
          <w:sz w:val="32"/>
          <w:szCs w:val="32"/>
        </w:rPr>
        <w:t xml:space="preserve">                                                       </w:t>
      </w:r>
    </w:p>
    <w:p w14:paraId="76D6E3C7">
      <w:pPr>
        <w:adjustRightInd w:val="0"/>
        <w:spacing w:line="480" w:lineRule="exact"/>
        <w:jc w:val="center"/>
        <w:rPr>
          <w:rFonts w:eastAsia="黑体"/>
          <w:b/>
          <w:sz w:val="32"/>
          <w:szCs w:val="32"/>
        </w:rPr>
      </w:pPr>
    </w:p>
    <w:p w14:paraId="13F31218">
      <w:pPr>
        <w:adjustRightInd w:val="0"/>
        <w:spacing w:line="480" w:lineRule="exact"/>
        <w:jc w:val="center"/>
        <w:rPr>
          <w:rFonts w:eastAsia="黑体"/>
          <w:b/>
          <w:sz w:val="52"/>
          <w:szCs w:val="52"/>
        </w:rPr>
      </w:pPr>
    </w:p>
    <w:p w14:paraId="2B32F34E">
      <w:pPr>
        <w:adjustRightInd w:val="0"/>
        <w:spacing w:line="480" w:lineRule="exact"/>
        <w:jc w:val="center"/>
        <w:rPr>
          <w:rFonts w:eastAsia="黑体"/>
          <w:b/>
          <w:sz w:val="52"/>
          <w:szCs w:val="52"/>
        </w:rPr>
      </w:pPr>
    </w:p>
    <w:p w14:paraId="0BF11598">
      <w:pPr>
        <w:adjustRightInd w:val="0"/>
        <w:spacing w:line="480" w:lineRule="exact"/>
        <w:jc w:val="center"/>
        <w:rPr>
          <w:rFonts w:eastAsia="黑体"/>
          <w:b/>
          <w:sz w:val="52"/>
          <w:szCs w:val="52"/>
        </w:rPr>
      </w:pPr>
    </w:p>
    <w:p w14:paraId="4A61B071">
      <w:pPr>
        <w:adjustRightInd w:val="0"/>
        <w:spacing w:line="480" w:lineRule="exact"/>
        <w:jc w:val="center"/>
        <w:rPr>
          <w:rFonts w:eastAsia="黑体"/>
          <w:b/>
          <w:sz w:val="52"/>
          <w:szCs w:val="52"/>
        </w:rPr>
      </w:pPr>
    </w:p>
    <w:p w14:paraId="17201FF2">
      <w:pPr>
        <w:adjustRightInd w:val="0"/>
        <w:spacing w:line="480" w:lineRule="exact"/>
        <w:jc w:val="center"/>
        <w:rPr>
          <w:rFonts w:eastAsia="黑体"/>
          <w:b/>
          <w:sz w:val="52"/>
          <w:szCs w:val="52"/>
        </w:rPr>
      </w:pPr>
    </w:p>
    <w:p w14:paraId="296C1549">
      <w:pPr>
        <w:adjustRightInd w:val="0"/>
        <w:spacing w:line="480" w:lineRule="exact"/>
        <w:jc w:val="center"/>
        <w:rPr>
          <w:rFonts w:eastAsia="黑体"/>
          <w:b/>
          <w:sz w:val="52"/>
          <w:szCs w:val="52"/>
        </w:rPr>
      </w:pPr>
    </w:p>
    <w:p w14:paraId="2C72DA19">
      <w:pPr>
        <w:spacing w:line="600" w:lineRule="exact"/>
        <w:jc w:val="center"/>
        <w:rPr>
          <w:rFonts w:hint="eastAsia" w:ascii="黑体" w:hAnsi="黑体" w:eastAsia="黑体" w:cs="黑体"/>
          <w:b/>
          <w:bCs/>
          <w:color w:val="auto"/>
          <w:sz w:val="44"/>
          <w:szCs w:val="44"/>
        </w:rPr>
      </w:pPr>
      <w:r>
        <w:rPr>
          <w:rFonts w:hint="eastAsia" w:ascii="黑体" w:hAnsi="黑体" w:eastAsia="黑体" w:cs="黑体"/>
          <w:b/>
          <w:bCs/>
          <w:color w:val="auto"/>
          <w:sz w:val="44"/>
          <w:szCs w:val="44"/>
          <w:lang w:eastAsia="zh-CN"/>
        </w:rPr>
        <w:t>2025</w:t>
      </w:r>
      <w:r>
        <w:rPr>
          <w:rFonts w:hint="eastAsia" w:ascii="黑体" w:hAnsi="黑体" w:eastAsia="黑体" w:cs="黑体"/>
          <w:b/>
          <w:bCs/>
          <w:color w:val="auto"/>
          <w:sz w:val="44"/>
          <w:szCs w:val="44"/>
          <w:lang w:val="en-US" w:eastAsia="zh-CN"/>
        </w:rPr>
        <w:t>年新疆昌吉国家农业高新技术产业示范区</w:t>
      </w:r>
      <w:r>
        <w:rPr>
          <w:rFonts w:hint="eastAsia" w:ascii="黑体" w:hAnsi="黑体" w:eastAsia="黑体" w:cs="黑体"/>
          <w:b/>
          <w:bCs/>
          <w:color w:val="auto"/>
          <w:sz w:val="44"/>
          <w:szCs w:val="44"/>
        </w:rPr>
        <w:t>合成树脂乳液</w:t>
      </w:r>
      <w:r>
        <w:rPr>
          <w:rFonts w:hint="eastAsia" w:ascii="黑体" w:hAnsi="黑体" w:eastAsia="黑体" w:cs="黑体"/>
          <w:b/>
          <w:bCs/>
          <w:color w:val="auto"/>
          <w:sz w:val="44"/>
          <w:szCs w:val="44"/>
          <w:lang w:eastAsia="zh-CN"/>
        </w:rPr>
        <w:t>墙</w:t>
      </w:r>
      <w:r>
        <w:rPr>
          <w:rFonts w:hint="eastAsia" w:ascii="黑体" w:hAnsi="黑体" w:eastAsia="黑体" w:cs="黑体"/>
          <w:b/>
          <w:bCs/>
          <w:color w:val="auto"/>
          <w:sz w:val="44"/>
          <w:szCs w:val="44"/>
          <w:lang w:val="en-US" w:eastAsia="zh-CN"/>
        </w:rPr>
        <w:t>面</w:t>
      </w:r>
      <w:r>
        <w:rPr>
          <w:rFonts w:hint="eastAsia" w:ascii="黑体" w:hAnsi="黑体" w:eastAsia="黑体" w:cs="黑体"/>
          <w:b/>
          <w:bCs/>
          <w:color w:val="auto"/>
          <w:sz w:val="44"/>
          <w:szCs w:val="44"/>
          <w:lang w:eastAsia="zh-CN"/>
        </w:rPr>
        <w:t>涂料</w:t>
      </w:r>
      <w:r>
        <w:rPr>
          <w:rFonts w:hint="eastAsia" w:ascii="黑体" w:hAnsi="黑体" w:eastAsia="黑体" w:cs="黑体"/>
          <w:b/>
          <w:bCs/>
          <w:color w:val="auto"/>
          <w:sz w:val="44"/>
          <w:szCs w:val="44"/>
        </w:rPr>
        <w:t>产品质量监督</w:t>
      </w:r>
    </w:p>
    <w:p w14:paraId="0C2ABADC">
      <w:pPr>
        <w:spacing w:line="600" w:lineRule="exact"/>
        <w:jc w:val="center"/>
        <w:rPr>
          <w:rFonts w:hint="eastAsia" w:eastAsia="黑体"/>
          <w:b/>
          <w:bCs/>
          <w:sz w:val="44"/>
          <w:szCs w:val="44"/>
        </w:rPr>
      </w:pPr>
      <w:r>
        <w:rPr>
          <w:rFonts w:hint="eastAsia" w:ascii="黑体" w:hAnsi="黑体" w:eastAsia="黑体" w:cs="黑体"/>
          <w:b/>
          <w:bCs/>
          <w:color w:val="auto"/>
          <w:sz w:val="44"/>
          <w:szCs w:val="44"/>
        </w:rPr>
        <w:t>抽查方案</w:t>
      </w:r>
    </w:p>
    <w:p w14:paraId="21AFCD46">
      <w:pPr>
        <w:tabs>
          <w:tab w:val="left" w:pos="6930"/>
        </w:tabs>
        <w:adjustRightInd w:val="0"/>
        <w:spacing w:line="480" w:lineRule="exact"/>
        <w:jc w:val="left"/>
        <w:rPr>
          <w:rFonts w:eastAsia="黑体"/>
          <w:b/>
          <w:bCs/>
          <w:sz w:val="44"/>
          <w:szCs w:val="44"/>
        </w:rPr>
      </w:pPr>
      <w:r>
        <w:rPr>
          <w:rFonts w:eastAsia="黑体"/>
          <w:b/>
          <w:sz w:val="52"/>
          <w:szCs w:val="52"/>
        </w:rPr>
        <w:t xml:space="preserve">           </w:t>
      </w:r>
    </w:p>
    <w:p w14:paraId="25300C7F">
      <w:pPr>
        <w:tabs>
          <w:tab w:val="left" w:pos="6930"/>
        </w:tabs>
        <w:adjustRightInd w:val="0"/>
        <w:spacing w:line="480" w:lineRule="exact"/>
        <w:jc w:val="left"/>
        <w:rPr>
          <w:rFonts w:eastAsia="黑体"/>
          <w:b/>
          <w:sz w:val="52"/>
          <w:szCs w:val="52"/>
        </w:rPr>
      </w:pPr>
    </w:p>
    <w:p w14:paraId="29522656">
      <w:pPr>
        <w:adjustRightInd w:val="0"/>
        <w:spacing w:line="480" w:lineRule="exact"/>
        <w:jc w:val="center"/>
        <w:rPr>
          <w:rFonts w:eastAsia="黑体"/>
          <w:b/>
          <w:sz w:val="52"/>
          <w:szCs w:val="52"/>
        </w:rPr>
      </w:pPr>
    </w:p>
    <w:p w14:paraId="3D1A5BAF">
      <w:pPr>
        <w:adjustRightInd w:val="0"/>
        <w:spacing w:line="480" w:lineRule="exact"/>
        <w:jc w:val="center"/>
        <w:rPr>
          <w:rFonts w:eastAsia="黑体"/>
          <w:b/>
          <w:sz w:val="52"/>
          <w:szCs w:val="52"/>
        </w:rPr>
      </w:pPr>
    </w:p>
    <w:p w14:paraId="0A2EBA05">
      <w:pPr>
        <w:adjustRightInd w:val="0"/>
        <w:spacing w:line="480" w:lineRule="exact"/>
        <w:jc w:val="center"/>
        <w:rPr>
          <w:rFonts w:eastAsia="黑体"/>
          <w:b/>
          <w:sz w:val="52"/>
          <w:szCs w:val="52"/>
        </w:rPr>
      </w:pPr>
    </w:p>
    <w:p w14:paraId="35A02FEA">
      <w:pPr>
        <w:adjustRightInd w:val="0"/>
        <w:spacing w:line="480" w:lineRule="exact"/>
        <w:jc w:val="center"/>
        <w:rPr>
          <w:rFonts w:eastAsia="黑体"/>
          <w:b/>
          <w:sz w:val="52"/>
          <w:szCs w:val="52"/>
        </w:rPr>
      </w:pPr>
    </w:p>
    <w:p w14:paraId="68721236">
      <w:pPr>
        <w:adjustRightInd w:val="0"/>
        <w:spacing w:line="480" w:lineRule="exact"/>
        <w:jc w:val="center"/>
        <w:rPr>
          <w:rFonts w:eastAsia="黑体"/>
          <w:b/>
          <w:sz w:val="52"/>
          <w:szCs w:val="52"/>
        </w:rPr>
      </w:pPr>
    </w:p>
    <w:p w14:paraId="1D8317BE">
      <w:pPr>
        <w:adjustRightInd w:val="0"/>
        <w:spacing w:line="480" w:lineRule="exact"/>
        <w:jc w:val="center"/>
        <w:rPr>
          <w:rFonts w:eastAsia="黑体"/>
          <w:b/>
          <w:sz w:val="52"/>
          <w:szCs w:val="52"/>
        </w:rPr>
      </w:pPr>
    </w:p>
    <w:p w14:paraId="2A725E91">
      <w:pPr>
        <w:adjustRightInd w:val="0"/>
        <w:spacing w:line="480" w:lineRule="exact"/>
        <w:jc w:val="center"/>
        <w:rPr>
          <w:rFonts w:eastAsia="黑体"/>
          <w:b/>
          <w:sz w:val="52"/>
          <w:szCs w:val="52"/>
        </w:rPr>
      </w:pPr>
    </w:p>
    <w:p w14:paraId="2D12A88C">
      <w:pPr>
        <w:adjustRightInd w:val="0"/>
        <w:spacing w:line="480" w:lineRule="exact"/>
        <w:jc w:val="center"/>
        <w:rPr>
          <w:rFonts w:eastAsia="黑体"/>
          <w:b/>
          <w:sz w:val="52"/>
          <w:szCs w:val="52"/>
        </w:rPr>
      </w:pPr>
    </w:p>
    <w:p w14:paraId="0C4A63EE">
      <w:pPr>
        <w:adjustRightInd w:val="0"/>
        <w:spacing w:line="480" w:lineRule="exact"/>
        <w:rPr>
          <w:rFonts w:eastAsia="黑体"/>
          <w:b/>
          <w:sz w:val="52"/>
          <w:szCs w:val="52"/>
        </w:rPr>
      </w:pPr>
    </w:p>
    <w:p w14:paraId="63221A1D">
      <w:pPr>
        <w:adjustRightInd w:val="0"/>
        <w:spacing w:line="480" w:lineRule="exact"/>
        <w:rPr>
          <w:rFonts w:eastAsia="黑体"/>
          <w:b/>
          <w:sz w:val="52"/>
          <w:szCs w:val="52"/>
        </w:rPr>
      </w:pPr>
    </w:p>
    <w:p w14:paraId="400E85CB">
      <w:pPr>
        <w:adjustRightInd w:val="0"/>
        <w:spacing w:line="480" w:lineRule="exact"/>
        <w:rPr>
          <w:rFonts w:eastAsia="黑体"/>
          <w:b/>
          <w:sz w:val="52"/>
          <w:szCs w:val="52"/>
        </w:rPr>
      </w:pPr>
    </w:p>
    <w:p w14:paraId="7957598A">
      <w:pPr>
        <w:adjustRightInd w:val="0"/>
        <w:spacing w:line="480" w:lineRule="exact"/>
        <w:jc w:val="center"/>
        <w:rPr>
          <w:rFonts w:eastAsia="黑体"/>
          <w:b/>
          <w:sz w:val="52"/>
          <w:szCs w:val="52"/>
        </w:rPr>
      </w:pPr>
    </w:p>
    <w:p w14:paraId="493B56FB">
      <w:pPr>
        <w:adjustRightInd w:val="0"/>
        <w:spacing w:line="480" w:lineRule="exact"/>
        <w:jc w:val="center"/>
        <w:rPr>
          <w:rFonts w:eastAsia="黑体"/>
          <w:b/>
          <w:sz w:val="52"/>
          <w:szCs w:val="52"/>
        </w:rPr>
      </w:pPr>
    </w:p>
    <w:p w14:paraId="53360F5D">
      <w:pPr>
        <w:adjustRightInd w:val="0"/>
        <w:spacing w:line="480" w:lineRule="exact"/>
        <w:ind w:right="-334" w:rightChars="-159"/>
        <w:rPr>
          <w:rFonts w:eastAsia="黑体"/>
          <w:sz w:val="28"/>
          <w:szCs w:val="28"/>
        </w:rPr>
      </w:pPr>
      <w:r>
        <w:rPr>
          <w:rFonts w:eastAsia="黑体"/>
          <w:sz w:val="28"/>
          <w:szCs w:val="28"/>
        </w:rPr>
        <w:t xml:space="preserve">                                              </w:t>
      </w:r>
    </w:p>
    <w:p w14:paraId="04608350">
      <w:pPr>
        <w:adjustRightInd w:val="0"/>
        <w:snapToGrid w:val="0"/>
        <w:spacing w:line="360" w:lineRule="auto"/>
        <w:jc w:val="center"/>
        <w:rPr>
          <w:rFonts w:eastAsia="方正小标宋简体"/>
          <w:sz w:val="32"/>
          <w:szCs w:val="32"/>
        </w:rPr>
        <w:sectPr>
          <w:headerReference r:id="rId3" w:type="default"/>
          <w:footerReference r:id="rId4" w:type="default"/>
          <w:footerReference r:id="rId5" w:type="even"/>
          <w:pgSz w:w="11906" w:h="16838"/>
          <w:pgMar w:top="1418" w:right="1418" w:bottom="1361" w:left="1843" w:header="851" w:footer="992" w:gutter="0"/>
          <w:pgNumType w:start="1"/>
          <w:cols w:space="720" w:num="1"/>
          <w:titlePg/>
          <w:docGrid w:linePitch="312" w:charSpace="0"/>
        </w:sectPr>
      </w:pPr>
    </w:p>
    <w:p w14:paraId="664FB9CC">
      <w:pPr>
        <w:spacing w:line="240" w:lineRule="atLeast"/>
        <w:jc w:val="center"/>
        <w:rPr>
          <w:rFonts w:hint="eastAsia" w:ascii="方正小标宋简体" w:hAnsi="方正小标宋简体" w:eastAsia="方正小标宋简体" w:cs="方正小标宋简体"/>
          <w:b/>
          <w:bCs w:val="0"/>
          <w:color w:val="auto"/>
          <w:sz w:val="36"/>
          <w:szCs w:val="36"/>
          <w:lang w:eastAsia="zh-CN"/>
        </w:rPr>
      </w:pPr>
      <w:r>
        <w:rPr>
          <w:rFonts w:hint="eastAsia" w:ascii="方正小标宋简体" w:hAnsi="方正小标宋简体" w:eastAsia="方正小标宋简体" w:cs="方正小标宋简体"/>
          <w:b/>
          <w:bCs w:val="0"/>
          <w:color w:val="auto"/>
          <w:sz w:val="36"/>
          <w:szCs w:val="36"/>
          <w:lang w:eastAsia="zh-CN"/>
        </w:rPr>
        <w:t>2025</w:t>
      </w:r>
      <w:r>
        <w:rPr>
          <w:rFonts w:hint="eastAsia" w:ascii="方正小标宋简体" w:hAnsi="方正小标宋简体" w:eastAsia="方正小标宋简体" w:cs="方正小标宋简体"/>
          <w:b/>
          <w:bCs w:val="0"/>
          <w:color w:val="auto"/>
          <w:sz w:val="36"/>
          <w:szCs w:val="36"/>
        </w:rPr>
        <w:t>年</w:t>
      </w:r>
      <w:r>
        <w:rPr>
          <w:rFonts w:hint="eastAsia" w:ascii="方正小标宋简体" w:hAnsi="方正小标宋简体" w:eastAsia="方正小标宋简体" w:cs="方正小标宋简体"/>
          <w:b/>
          <w:bCs w:val="0"/>
          <w:color w:val="auto"/>
          <w:sz w:val="36"/>
          <w:szCs w:val="36"/>
          <w:lang w:val="en-US" w:eastAsia="zh-CN"/>
        </w:rPr>
        <w:t>新疆昌吉国家农业高新技术产业示范区</w:t>
      </w:r>
      <w:r>
        <w:rPr>
          <w:rFonts w:hint="eastAsia" w:ascii="方正小标宋简体" w:hAnsi="方正小标宋简体" w:eastAsia="方正小标宋简体" w:cs="方正小标宋简体"/>
          <w:b/>
          <w:bCs w:val="0"/>
          <w:color w:val="auto"/>
          <w:sz w:val="36"/>
          <w:szCs w:val="36"/>
        </w:rPr>
        <w:t>合成树脂乳液</w:t>
      </w:r>
      <w:r>
        <w:rPr>
          <w:rFonts w:hint="eastAsia" w:ascii="方正小标宋简体" w:hAnsi="方正小标宋简体" w:eastAsia="方正小标宋简体" w:cs="方正小标宋简体"/>
          <w:b/>
          <w:bCs w:val="0"/>
          <w:color w:val="auto"/>
          <w:sz w:val="36"/>
          <w:szCs w:val="36"/>
          <w:lang w:eastAsia="zh-CN"/>
        </w:rPr>
        <w:t>墙</w:t>
      </w:r>
      <w:r>
        <w:rPr>
          <w:rFonts w:hint="eastAsia" w:ascii="方正小标宋简体" w:hAnsi="方正小标宋简体" w:eastAsia="方正小标宋简体" w:cs="方正小标宋简体"/>
          <w:b/>
          <w:bCs w:val="0"/>
          <w:color w:val="auto"/>
          <w:sz w:val="36"/>
          <w:szCs w:val="36"/>
          <w:lang w:val="en-US" w:eastAsia="zh-CN"/>
        </w:rPr>
        <w:t>面</w:t>
      </w:r>
      <w:r>
        <w:rPr>
          <w:rFonts w:hint="eastAsia" w:ascii="方正小标宋简体" w:hAnsi="方正小标宋简体" w:eastAsia="方正小标宋简体" w:cs="方正小标宋简体"/>
          <w:b/>
          <w:bCs w:val="0"/>
          <w:color w:val="auto"/>
          <w:sz w:val="36"/>
          <w:szCs w:val="36"/>
          <w:lang w:eastAsia="zh-CN"/>
        </w:rPr>
        <w:t>涂料</w:t>
      </w:r>
    </w:p>
    <w:p w14:paraId="2D407632">
      <w:pPr>
        <w:spacing w:line="240" w:lineRule="atLeast"/>
        <w:jc w:val="center"/>
        <w:rPr>
          <w:rFonts w:hint="eastAsia" w:ascii="方正小标宋简体" w:hAnsi="方正小标宋简体" w:eastAsia="方正小标宋简体" w:cs="方正小标宋简体"/>
          <w:b/>
          <w:bCs w:val="0"/>
          <w:color w:val="auto"/>
          <w:sz w:val="36"/>
          <w:szCs w:val="36"/>
        </w:rPr>
      </w:pPr>
      <w:r>
        <w:rPr>
          <w:rFonts w:hint="eastAsia" w:ascii="方正小标宋简体" w:hAnsi="方正小标宋简体" w:eastAsia="方正小标宋简体" w:cs="方正小标宋简体"/>
          <w:b/>
          <w:bCs w:val="0"/>
          <w:color w:val="auto"/>
          <w:sz w:val="36"/>
          <w:szCs w:val="36"/>
        </w:rPr>
        <w:t>产品质量监督抽查方案</w:t>
      </w:r>
    </w:p>
    <w:p w14:paraId="70785E9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rPr>
          <w:rFonts w:eastAsia="黑体"/>
          <w:b/>
          <w:bCs/>
          <w:sz w:val="21"/>
          <w:szCs w:val="21"/>
        </w:rPr>
      </w:pPr>
      <w:r>
        <w:rPr>
          <w:rFonts w:hint="eastAsia" w:hAnsi="黑体" w:eastAsia="黑体"/>
          <w:b/>
          <w:bCs/>
          <w:sz w:val="21"/>
          <w:szCs w:val="21"/>
          <w:lang w:eastAsia="zh-CN"/>
        </w:rPr>
        <w:t>一、</w:t>
      </w:r>
      <w:r>
        <w:rPr>
          <w:rFonts w:hAnsi="黑体" w:eastAsia="黑体"/>
          <w:b/>
          <w:bCs/>
          <w:sz w:val="21"/>
          <w:szCs w:val="21"/>
        </w:rPr>
        <w:t>抽样方式</w:t>
      </w:r>
    </w:p>
    <w:p w14:paraId="5BBFD67E">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bCs/>
          <w:szCs w:val="21"/>
        </w:rPr>
      </w:pPr>
      <w:r>
        <w:rPr>
          <w:rFonts w:hAnsi="宋体"/>
          <w:b/>
          <w:bCs/>
          <w:szCs w:val="21"/>
        </w:rPr>
        <w:t>（一）抽样领域</w:t>
      </w:r>
    </w:p>
    <w:p w14:paraId="36DB4DC3">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cs="Times New Roman"/>
          <w:color w:val="auto"/>
          <w:lang w:eastAsia="zh-CN"/>
        </w:rPr>
        <w:t>新疆昌吉国家农业高新技术产业示范区</w:t>
      </w:r>
      <w:r>
        <w:rPr>
          <w:rFonts w:hint="eastAsia" w:eastAsia="宋体" w:cs="Times New Roman"/>
          <w:color w:val="auto"/>
          <w:lang w:eastAsia="zh-CN"/>
        </w:rPr>
        <w:t>行</w:t>
      </w:r>
      <w:r>
        <w:rPr>
          <w:rFonts w:hint="eastAsia"/>
          <w:color w:val="auto"/>
        </w:rPr>
        <w:t>政区域内</w:t>
      </w:r>
      <w:r>
        <w:rPr>
          <w:rFonts w:hint="eastAsia" w:ascii="Times New Roman" w:hAnsi="Times New Roman" w:eastAsia="宋体" w:cs="Times New Roman"/>
          <w:color w:val="auto"/>
        </w:rPr>
        <w:t>合成树脂乳液</w:t>
      </w:r>
      <w:r>
        <w:rPr>
          <w:rFonts w:hint="eastAsia" w:ascii="Times New Roman" w:hAnsi="Times New Roman" w:eastAsia="宋体" w:cs="Times New Roman"/>
          <w:color w:val="auto"/>
          <w:lang w:eastAsia="zh-CN"/>
        </w:rPr>
        <w:t>内墙涂料、</w:t>
      </w:r>
      <w:r>
        <w:rPr>
          <w:rFonts w:hint="eastAsia" w:ascii="宋体" w:hAnsi="宋体" w:eastAsia="宋体" w:cs="宋体"/>
          <w:kern w:val="0"/>
          <w:sz w:val="21"/>
          <w:szCs w:val="21"/>
          <w:lang w:val="en-US" w:eastAsia="zh-CN" w:bidi="ar-SA"/>
        </w:rPr>
        <w:t>合成树脂乳液墙</w:t>
      </w:r>
      <w:r>
        <w:rPr>
          <w:rFonts w:hint="eastAsia" w:hAnsi="宋体" w:eastAsia="宋体" w:cs="宋体"/>
          <w:kern w:val="0"/>
          <w:sz w:val="21"/>
          <w:szCs w:val="21"/>
          <w:lang w:val="en-US" w:eastAsia="zh-CN" w:bidi="ar-SA"/>
        </w:rPr>
        <w:t>面</w:t>
      </w:r>
      <w:r>
        <w:rPr>
          <w:rFonts w:hint="eastAsia" w:ascii="宋体" w:hAnsi="宋体" w:eastAsia="宋体" w:cs="宋体"/>
          <w:kern w:val="0"/>
          <w:sz w:val="21"/>
          <w:szCs w:val="21"/>
          <w:lang w:val="en-US" w:eastAsia="zh-CN" w:bidi="ar-SA"/>
        </w:rPr>
        <w:t>涂料，</w:t>
      </w:r>
      <w:r>
        <w:rPr>
          <w:rFonts w:hint="eastAsia" w:ascii="Times New Roman" w:hAnsi="Times New Roman" w:eastAsia="宋体" w:cs="Times New Roman"/>
          <w:color w:val="auto"/>
        </w:rPr>
        <w:t>生产者、销售者的待销产品中抽取。</w:t>
      </w:r>
    </w:p>
    <w:p w14:paraId="4D516856">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bCs/>
          <w:szCs w:val="21"/>
        </w:rPr>
      </w:pPr>
      <w:r>
        <w:rPr>
          <w:rFonts w:hAnsi="宋体"/>
          <w:b/>
          <w:bCs/>
          <w:szCs w:val="21"/>
        </w:rPr>
        <w:t>（二）抽样型号或规格</w:t>
      </w:r>
    </w:p>
    <w:p w14:paraId="1A88B0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szCs w:val="21"/>
        </w:rPr>
      </w:pPr>
      <w:r>
        <w:rPr>
          <w:rFonts w:hint="eastAsia" w:hAnsi="宋体"/>
          <w:kern w:val="0"/>
          <w:szCs w:val="21"/>
        </w:rPr>
        <w:t>抽取样品应为同一生产企业生产的同一种类、同一型号规格、同一批次的</w:t>
      </w:r>
      <w:r>
        <w:rPr>
          <w:rFonts w:hint="eastAsia" w:hAnsi="宋体"/>
          <w:kern w:val="0"/>
          <w:szCs w:val="21"/>
          <w:lang w:eastAsia="zh-CN"/>
        </w:rPr>
        <w:t>涂料</w:t>
      </w:r>
      <w:r>
        <w:rPr>
          <w:rFonts w:hint="eastAsia" w:hAnsi="宋体"/>
          <w:kern w:val="0"/>
          <w:szCs w:val="21"/>
        </w:rPr>
        <w:t>产品。</w:t>
      </w:r>
      <w:r>
        <w:rPr>
          <w:rFonts w:hint="eastAsia" w:ascii="宋体" w:hAnsi="宋体"/>
          <w:color w:val="000000"/>
          <w:szCs w:val="21"/>
        </w:rPr>
        <w:t>相同条件下如存在多个规格型号可以抽取的，优先抽取等</w:t>
      </w:r>
      <w:r>
        <w:rPr>
          <w:rFonts w:hint="eastAsia" w:ascii="宋体" w:hAnsi="宋体"/>
          <w:color w:val="000000"/>
          <w:szCs w:val="21"/>
          <w:highlight w:val="none"/>
        </w:rPr>
        <w:t>级高</w:t>
      </w:r>
      <w:r>
        <w:rPr>
          <w:rFonts w:hint="eastAsia" w:ascii="宋体" w:hAnsi="宋体"/>
          <w:color w:val="000000"/>
          <w:szCs w:val="21"/>
          <w:highlight w:val="none"/>
          <w:lang w:eastAsia="zh-CN"/>
        </w:rPr>
        <w:t>或</w:t>
      </w:r>
      <w:r>
        <w:rPr>
          <w:rFonts w:hint="eastAsia" w:ascii="宋体" w:hAnsi="宋体"/>
          <w:color w:val="000000"/>
          <w:szCs w:val="21"/>
          <w:highlight w:val="none"/>
        </w:rPr>
        <w:t>存</w:t>
      </w:r>
      <w:r>
        <w:rPr>
          <w:rFonts w:hint="eastAsia" w:ascii="宋体" w:hAnsi="宋体"/>
          <w:color w:val="000000"/>
          <w:szCs w:val="21"/>
        </w:rPr>
        <w:t>货量大的产品。</w:t>
      </w:r>
    </w:p>
    <w:p w14:paraId="19586FCD">
      <w:pPr>
        <w:pStyle w:val="94"/>
        <w:keepNext w:val="0"/>
        <w:keepLines w:val="0"/>
        <w:pageBreakBefore w:val="0"/>
        <w:kinsoku/>
        <w:wordWrap/>
        <w:overflowPunct/>
        <w:topLinePunct w:val="0"/>
        <w:bidi w:val="0"/>
        <w:spacing w:line="360" w:lineRule="auto"/>
        <w:ind w:firstLine="420"/>
        <w:textAlignment w:val="auto"/>
        <w:rPr>
          <w:rFonts w:hint="eastAsia" w:ascii="宋体" w:hAnsi="宋体" w:eastAsia="宋体" w:cs="宋体"/>
          <w:kern w:val="0"/>
          <w:sz w:val="21"/>
          <w:szCs w:val="21"/>
          <w:lang w:val="en-US" w:eastAsia="zh-CN" w:bidi="ar-SA"/>
        </w:rPr>
      </w:pPr>
      <w:r>
        <w:rPr>
          <w:rFonts w:hint="eastAsia" w:hAnsi="宋体" w:eastAsia="宋体" w:cs="宋体"/>
          <w:kern w:val="0"/>
          <w:sz w:val="21"/>
          <w:szCs w:val="21"/>
          <w:lang w:val="en-US" w:eastAsia="zh-CN" w:bidi="ar-SA"/>
        </w:rPr>
        <w:t>根据GB/T 9756-2018《</w:t>
      </w:r>
      <w:r>
        <w:rPr>
          <w:rFonts w:hint="eastAsia" w:ascii="宋体" w:hAnsi="宋体" w:eastAsia="宋体" w:cs="宋体"/>
          <w:kern w:val="0"/>
          <w:sz w:val="21"/>
          <w:szCs w:val="21"/>
          <w:lang w:val="en-US" w:eastAsia="zh-CN" w:bidi="ar-SA"/>
        </w:rPr>
        <w:t>合成树脂乳液内墙涂料</w:t>
      </w:r>
      <w:r>
        <w:rPr>
          <w:rFonts w:hint="eastAsia" w:hAnsi="宋体" w:eastAsia="宋体" w:cs="宋体"/>
          <w:kern w:val="0"/>
          <w:sz w:val="21"/>
          <w:szCs w:val="21"/>
          <w:lang w:val="en-US" w:eastAsia="zh-CN" w:bidi="ar-SA"/>
        </w:rPr>
        <w:t>》</w:t>
      </w:r>
      <w:r>
        <w:rPr>
          <w:rFonts w:hint="eastAsia" w:ascii="宋体" w:hAnsi="宋体" w:eastAsia="宋体" w:cs="宋体"/>
          <w:kern w:val="0"/>
          <w:sz w:val="21"/>
          <w:szCs w:val="21"/>
          <w:lang w:val="en-US" w:eastAsia="zh-CN" w:bidi="ar-SA"/>
        </w:rPr>
        <w:t>面漆按照使用要求分为合格品、一等品和优等品三个等级。</w:t>
      </w:r>
    </w:p>
    <w:p w14:paraId="669363FE">
      <w:pPr>
        <w:pStyle w:val="94"/>
        <w:keepNext w:val="0"/>
        <w:keepLines w:val="0"/>
        <w:pageBreakBefore w:val="0"/>
        <w:kinsoku/>
        <w:wordWrap/>
        <w:overflowPunct/>
        <w:topLinePunct w:val="0"/>
        <w:bidi w:val="0"/>
        <w:spacing w:line="360" w:lineRule="auto"/>
        <w:ind w:firstLine="420"/>
        <w:textAlignment w:val="auto"/>
        <w:rPr>
          <w:rFonts w:hint="eastAsia" w:ascii="宋体" w:hAnsi="宋体" w:eastAsia="宋体" w:cs="宋体"/>
          <w:kern w:val="0"/>
          <w:sz w:val="21"/>
          <w:szCs w:val="21"/>
          <w:lang w:val="en-US" w:eastAsia="zh-CN" w:bidi="ar-SA"/>
        </w:rPr>
      </w:pPr>
      <w:r>
        <w:rPr>
          <w:rFonts w:hint="eastAsia" w:hAnsi="宋体" w:eastAsia="宋体" w:cs="宋体"/>
          <w:kern w:val="0"/>
          <w:sz w:val="21"/>
          <w:szCs w:val="21"/>
          <w:lang w:val="en-US" w:eastAsia="zh-CN" w:bidi="ar-SA"/>
        </w:rPr>
        <w:t>根据GB/T 9755-2024《</w:t>
      </w:r>
      <w:r>
        <w:rPr>
          <w:rFonts w:hint="eastAsia" w:ascii="宋体" w:hAnsi="宋体" w:eastAsia="宋体" w:cs="宋体"/>
          <w:kern w:val="0"/>
          <w:sz w:val="21"/>
          <w:szCs w:val="21"/>
          <w:lang w:val="en-US" w:eastAsia="zh-CN" w:bidi="ar-SA"/>
        </w:rPr>
        <w:t>合成树脂乳液墙</w:t>
      </w:r>
      <w:r>
        <w:rPr>
          <w:rFonts w:hint="eastAsia" w:hAnsi="宋体" w:eastAsia="宋体" w:cs="宋体"/>
          <w:kern w:val="0"/>
          <w:sz w:val="21"/>
          <w:szCs w:val="21"/>
          <w:lang w:val="en-US" w:eastAsia="zh-CN" w:bidi="ar-SA"/>
        </w:rPr>
        <w:t>面</w:t>
      </w:r>
      <w:r>
        <w:rPr>
          <w:rFonts w:hint="eastAsia" w:ascii="宋体" w:hAnsi="宋体" w:eastAsia="宋体" w:cs="宋体"/>
          <w:kern w:val="0"/>
          <w:sz w:val="21"/>
          <w:szCs w:val="21"/>
          <w:lang w:val="en-US" w:eastAsia="zh-CN" w:bidi="ar-SA"/>
        </w:rPr>
        <w:t>涂料</w:t>
      </w:r>
      <w:r>
        <w:rPr>
          <w:rFonts w:hint="eastAsia" w:hAnsi="宋体" w:eastAsia="宋体" w:cs="宋体"/>
          <w:kern w:val="0"/>
          <w:sz w:val="21"/>
          <w:szCs w:val="21"/>
          <w:lang w:val="en-US" w:eastAsia="zh-CN" w:bidi="ar-SA"/>
        </w:rPr>
        <w:t>》内墙涂料</w:t>
      </w:r>
      <w:r>
        <w:rPr>
          <w:rFonts w:hint="eastAsia" w:ascii="宋体" w:hAnsi="宋体" w:eastAsia="宋体" w:cs="宋体"/>
          <w:kern w:val="0"/>
          <w:sz w:val="21"/>
          <w:szCs w:val="21"/>
          <w:lang w:val="en-US" w:eastAsia="zh-CN" w:bidi="ar-SA"/>
        </w:rPr>
        <w:t>面漆按照</w:t>
      </w:r>
      <w:r>
        <w:rPr>
          <w:rFonts w:hint="eastAsia" w:hAnsi="宋体" w:eastAsia="宋体" w:cs="宋体"/>
          <w:kern w:val="0"/>
          <w:sz w:val="21"/>
          <w:szCs w:val="21"/>
          <w:lang w:val="en-US" w:eastAsia="zh-CN" w:bidi="ar-SA"/>
        </w:rPr>
        <w:t>产品等级</w:t>
      </w:r>
      <w:r>
        <w:rPr>
          <w:rFonts w:hint="eastAsia" w:ascii="宋体" w:hAnsi="宋体" w:eastAsia="宋体" w:cs="宋体"/>
          <w:kern w:val="0"/>
          <w:sz w:val="21"/>
          <w:szCs w:val="21"/>
          <w:lang w:val="en-US" w:eastAsia="zh-CN" w:bidi="ar-SA"/>
        </w:rPr>
        <w:t>分为合格品、一等品和优等品三个等级。</w:t>
      </w:r>
    </w:p>
    <w:p w14:paraId="144C164E">
      <w:pPr>
        <w:pStyle w:val="94"/>
        <w:keepNext w:val="0"/>
        <w:keepLines w:val="0"/>
        <w:pageBreakBefore w:val="0"/>
        <w:kinsoku/>
        <w:wordWrap/>
        <w:overflowPunct/>
        <w:topLinePunct w:val="0"/>
        <w:bidi w:val="0"/>
        <w:spacing w:line="360" w:lineRule="auto"/>
        <w:ind w:firstLine="420"/>
        <w:textAlignment w:val="auto"/>
        <w:rPr>
          <w:rFonts w:hint="eastAsia" w:ascii="宋体" w:hAnsi="宋体" w:eastAsia="宋体" w:cs="宋体"/>
          <w:kern w:val="0"/>
          <w:sz w:val="21"/>
          <w:szCs w:val="21"/>
          <w:lang w:val="en-US" w:eastAsia="zh-CN" w:bidi="ar-SA"/>
        </w:rPr>
      </w:pPr>
    </w:p>
    <w:p w14:paraId="140E75E6">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Ansi="宋体"/>
          <w:b/>
          <w:bCs/>
          <w:szCs w:val="21"/>
        </w:rPr>
      </w:pPr>
      <w:r>
        <w:rPr>
          <w:rFonts w:hAnsi="宋体"/>
          <w:b/>
          <w:bCs/>
          <w:szCs w:val="21"/>
        </w:rPr>
        <w:t>（三）样品要求</w:t>
      </w:r>
    </w:p>
    <w:p w14:paraId="6A6F6B04">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hAnsi="宋体"/>
          <w:sz w:val="18"/>
          <w:szCs w:val="18"/>
        </w:rPr>
      </w:pPr>
      <w:r>
        <w:rPr>
          <w:rFonts w:hint="eastAsia" w:hAnsi="宋体"/>
          <w:szCs w:val="21"/>
        </w:rPr>
        <w:t>本次抽查的样品种类</w:t>
      </w:r>
      <w:r>
        <w:rPr>
          <w:rFonts w:hint="eastAsia" w:hAnsi="宋体"/>
          <w:szCs w:val="21"/>
          <w:lang w:eastAsia="zh-CN"/>
        </w:rPr>
        <w:t>为</w:t>
      </w:r>
      <w:r>
        <w:rPr>
          <w:rFonts w:hint="eastAsia" w:hAnsi="宋体"/>
          <w:szCs w:val="21"/>
        </w:rPr>
        <w:t>合成树脂乳液</w:t>
      </w:r>
      <w:r>
        <w:rPr>
          <w:rFonts w:hint="eastAsia" w:hAnsi="宋体"/>
          <w:szCs w:val="21"/>
          <w:lang w:eastAsia="zh-CN"/>
        </w:rPr>
        <w:t>内墙涂料（限面漆）、</w:t>
      </w:r>
      <w:r>
        <w:rPr>
          <w:rFonts w:hint="eastAsia" w:ascii="Times New Roman" w:hAnsi="宋体" w:eastAsia="宋体" w:cs="Times New Roman"/>
          <w:szCs w:val="21"/>
        </w:rPr>
        <w:t>合成树脂乳液</w:t>
      </w:r>
      <w:r>
        <w:rPr>
          <w:rFonts w:hint="eastAsia" w:ascii="Times New Roman" w:hAnsi="宋体" w:eastAsia="宋体" w:cs="Times New Roman"/>
          <w:szCs w:val="21"/>
          <w:lang w:eastAsia="zh-CN"/>
        </w:rPr>
        <w:t>墙面</w:t>
      </w:r>
      <w:r>
        <w:rPr>
          <w:rFonts w:hint="eastAsia" w:ascii="Times New Roman" w:hAnsi="宋体" w:eastAsia="宋体" w:cs="Times New Roman"/>
          <w:szCs w:val="21"/>
        </w:rPr>
        <w:t>涂料</w:t>
      </w:r>
      <w:r>
        <w:rPr>
          <w:rFonts w:hint="eastAsia" w:ascii="Times New Roman" w:hAnsi="宋体" w:eastAsia="宋体" w:cs="Times New Roman"/>
          <w:szCs w:val="21"/>
          <w:lang w:eastAsia="zh-CN"/>
        </w:rPr>
        <w:t>（限内墙面漆</w:t>
      </w:r>
      <w:r>
        <w:rPr>
          <w:rFonts w:hint="eastAsia" w:ascii="Times New Roman" w:hAnsi="Times New Roman" w:eastAsia="宋体" w:cs="Times New Roman"/>
          <w:lang w:eastAsia="zh-CN"/>
        </w:rPr>
        <w:t>）</w:t>
      </w:r>
      <w:r>
        <w:rPr>
          <w:rFonts w:hint="eastAsia" w:ascii="Times New Roman" w:hAnsi="Times New Roman" w:eastAsia="宋体" w:cs="Times New Roman"/>
        </w:rPr>
        <w:t>。</w:t>
      </w:r>
      <w:r>
        <w:t>被抽查产品按产品标准中规定抽样方法执行，抽样数量、抽样过程</w:t>
      </w:r>
      <w:r>
        <w:rPr>
          <w:highlight w:val="none"/>
        </w:rPr>
        <w:t>及样品数量要求详</w:t>
      </w:r>
      <w:r>
        <w:t>见表1。</w:t>
      </w:r>
    </w:p>
    <w:p w14:paraId="0A996FBF">
      <w:pPr>
        <w:pStyle w:val="131"/>
        <w:spacing w:line="360" w:lineRule="auto"/>
        <w:ind w:right="42" w:rightChars="20" w:firstLine="0" w:firstLineChars="0"/>
        <w:jc w:val="center"/>
        <w:rPr>
          <w:rFonts w:hint="eastAsia" w:ascii="宋体" w:hAnsi="宋体"/>
          <w:sz w:val="18"/>
          <w:szCs w:val="18"/>
        </w:rPr>
      </w:pPr>
      <w:r>
        <w:rPr>
          <w:rFonts w:hint="eastAsia" w:ascii="宋体" w:hAnsi="宋体"/>
          <w:sz w:val="18"/>
          <w:szCs w:val="18"/>
        </w:rPr>
        <w:t>表1  抽查产品数量及抽样过程要求</w:t>
      </w:r>
    </w:p>
    <w:tbl>
      <w:tblPr>
        <w:tblStyle w:val="24"/>
        <w:tblW w:w="0" w:type="auto"/>
        <w:jc w:val="center"/>
        <w:tblLayout w:type="fixed"/>
        <w:tblCellMar>
          <w:top w:w="0" w:type="dxa"/>
          <w:left w:w="108" w:type="dxa"/>
          <w:bottom w:w="0" w:type="dxa"/>
          <w:right w:w="108" w:type="dxa"/>
        </w:tblCellMar>
      </w:tblPr>
      <w:tblGrid>
        <w:gridCol w:w="701"/>
        <w:gridCol w:w="992"/>
        <w:gridCol w:w="1178"/>
        <w:gridCol w:w="1056"/>
        <w:gridCol w:w="4560"/>
      </w:tblGrid>
      <w:tr w14:paraId="5D0AB6F1">
        <w:tblPrEx>
          <w:tblCellMar>
            <w:top w:w="0" w:type="dxa"/>
            <w:left w:w="108" w:type="dxa"/>
            <w:bottom w:w="0" w:type="dxa"/>
            <w:right w:w="108" w:type="dxa"/>
          </w:tblCellMar>
        </w:tblPrEx>
        <w:trPr>
          <w:trHeight w:val="113" w:hRule="atLeast"/>
          <w:tblHeader/>
          <w:jc w:val="center"/>
        </w:trPr>
        <w:tc>
          <w:tcPr>
            <w:tcW w:w="701" w:type="dxa"/>
            <w:tcBorders>
              <w:top w:val="single" w:color="000000" w:sz="4" w:space="0"/>
              <w:left w:val="single" w:color="000000" w:sz="4" w:space="0"/>
              <w:bottom w:val="single" w:color="auto" w:sz="4" w:space="0"/>
              <w:right w:val="single" w:color="000000" w:sz="4" w:space="0"/>
            </w:tcBorders>
            <w:noWrap w:val="0"/>
            <w:vAlign w:val="center"/>
          </w:tcPr>
          <w:p w14:paraId="0D21E1DA">
            <w:pPr>
              <w:widowControl/>
              <w:jc w:val="center"/>
              <w:textAlignment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序 号</w:t>
            </w:r>
          </w:p>
        </w:tc>
        <w:tc>
          <w:tcPr>
            <w:tcW w:w="992"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64A58C58">
            <w:pPr>
              <w:widowControl/>
              <w:jc w:val="center"/>
              <w:textAlignment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产品</w:t>
            </w:r>
          </w:p>
        </w:tc>
        <w:tc>
          <w:tcPr>
            <w:tcW w:w="1178"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325535CA">
            <w:pPr>
              <w:widowControl/>
              <w:jc w:val="center"/>
              <w:textAlignment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检验样</w:t>
            </w:r>
          </w:p>
          <w:p w14:paraId="62AFA0F4">
            <w:pPr>
              <w:widowControl/>
              <w:jc w:val="center"/>
              <w:textAlignment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品数量</w:t>
            </w:r>
          </w:p>
        </w:tc>
        <w:tc>
          <w:tcPr>
            <w:tcW w:w="1056"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7E83EF29">
            <w:pPr>
              <w:widowControl/>
              <w:jc w:val="center"/>
              <w:textAlignment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备用样     品数量</w:t>
            </w:r>
          </w:p>
        </w:tc>
        <w:tc>
          <w:tcPr>
            <w:tcW w:w="4560"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4D2DFE19">
            <w:pPr>
              <w:widowControl/>
              <w:tabs>
                <w:tab w:val="left" w:pos="931"/>
              </w:tabs>
              <w:jc w:val="center"/>
              <w:textAlignment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rPr>
              <w:t>抽样过程要求</w:t>
            </w:r>
          </w:p>
        </w:tc>
      </w:tr>
      <w:tr w14:paraId="135BDD98">
        <w:tblPrEx>
          <w:tblCellMar>
            <w:top w:w="0" w:type="dxa"/>
            <w:left w:w="108" w:type="dxa"/>
            <w:bottom w:w="0" w:type="dxa"/>
            <w:right w:w="108" w:type="dxa"/>
          </w:tblCellMar>
        </w:tblPrEx>
        <w:trPr>
          <w:trHeight w:val="1062" w:hRule="atLeast"/>
          <w:jc w:val="center"/>
        </w:trPr>
        <w:tc>
          <w:tcPr>
            <w:tcW w:w="701" w:type="dxa"/>
            <w:tcBorders>
              <w:top w:val="single" w:color="auto" w:sz="4" w:space="0"/>
              <w:left w:val="single" w:color="auto" w:sz="4" w:space="0"/>
              <w:bottom w:val="single" w:color="auto" w:sz="4" w:space="0"/>
              <w:right w:val="single" w:color="auto" w:sz="4" w:space="0"/>
            </w:tcBorders>
            <w:noWrap w:val="0"/>
            <w:vAlign w:val="center"/>
          </w:tcPr>
          <w:p w14:paraId="57235919">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w:t>
            </w:r>
          </w:p>
          <w:p w14:paraId="4BB7C379">
            <w:pPr>
              <w:jc w:val="center"/>
              <w:rPr>
                <w:rFonts w:hint="default" w:ascii="Times New Roman" w:hAnsi="Times New Roman" w:eastAsia="宋体" w:cs="Times New Roman"/>
                <w:sz w:val="18"/>
                <w:szCs w:val="18"/>
              </w:rPr>
            </w:pPr>
          </w:p>
        </w:tc>
        <w:tc>
          <w:tcPr>
            <w:tcW w:w="99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16F0E04E">
            <w:pPr>
              <w:jc w:val="center"/>
              <w:rPr>
                <w:rFonts w:hint="eastAsia" w:ascii="宋体" w:hAnsi="宋体" w:eastAsia="宋体" w:cs="宋体"/>
                <w:sz w:val="18"/>
                <w:szCs w:val="18"/>
                <w:lang w:eastAsia="zh-CN"/>
              </w:rPr>
            </w:pPr>
            <w:r>
              <w:rPr>
                <w:rFonts w:hint="eastAsia" w:ascii="宋体" w:hAnsi="宋体" w:eastAsia="宋体" w:cs="宋体"/>
                <w:sz w:val="18"/>
                <w:szCs w:val="18"/>
              </w:rPr>
              <w:t>合成树脂乳液</w:t>
            </w:r>
            <w:r>
              <w:rPr>
                <w:rFonts w:hint="eastAsia" w:ascii="宋体" w:hAnsi="宋体" w:eastAsia="宋体" w:cs="宋体"/>
                <w:sz w:val="18"/>
                <w:szCs w:val="18"/>
                <w:lang w:eastAsia="zh-CN"/>
              </w:rPr>
              <w:t>内墙涂料（限面漆）</w:t>
            </w:r>
          </w:p>
        </w:tc>
        <w:tc>
          <w:tcPr>
            <w:tcW w:w="117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2C236F97">
            <w:pPr>
              <w:jc w:val="center"/>
              <w:rPr>
                <w:rFonts w:hint="eastAsia" w:ascii="宋体" w:hAnsi="宋体" w:eastAsia="宋体" w:cs="宋体"/>
                <w:sz w:val="18"/>
                <w:szCs w:val="18"/>
              </w:rPr>
            </w:pPr>
            <w:r>
              <w:rPr>
                <w:rFonts w:hint="eastAsia" w:ascii="宋体" w:hAnsi="宋体" w:eastAsia="宋体" w:cs="宋体"/>
                <w:sz w:val="18"/>
                <w:szCs w:val="18"/>
              </w:rPr>
              <w:t>不小于3kg</w:t>
            </w:r>
          </w:p>
          <w:p w14:paraId="1ACBBCDC">
            <w:pPr>
              <w:jc w:val="center"/>
              <w:rPr>
                <w:rFonts w:hint="eastAsia" w:ascii="宋体" w:hAnsi="宋体" w:eastAsia="宋体" w:cs="宋体"/>
                <w:sz w:val="18"/>
                <w:szCs w:val="18"/>
              </w:rPr>
            </w:pPr>
          </w:p>
        </w:tc>
        <w:tc>
          <w:tcPr>
            <w:tcW w:w="1056"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77A10B9F">
            <w:pPr>
              <w:jc w:val="center"/>
              <w:rPr>
                <w:rFonts w:hint="eastAsia" w:ascii="宋体" w:hAnsi="宋体" w:eastAsia="宋体" w:cs="宋体"/>
                <w:sz w:val="18"/>
                <w:szCs w:val="18"/>
              </w:rPr>
            </w:pPr>
            <w:r>
              <w:rPr>
                <w:rFonts w:hint="eastAsia" w:ascii="宋体" w:hAnsi="宋体" w:eastAsia="宋体" w:cs="宋体"/>
                <w:sz w:val="18"/>
                <w:szCs w:val="18"/>
              </w:rPr>
              <w:t>不小于3kg</w:t>
            </w:r>
          </w:p>
          <w:p w14:paraId="73C33825">
            <w:pPr>
              <w:jc w:val="center"/>
              <w:rPr>
                <w:rFonts w:hint="eastAsia" w:ascii="宋体" w:hAnsi="宋体" w:eastAsia="宋体" w:cs="宋体"/>
                <w:sz w:val="18"/>
                <w:szCs w:val="18"/>
              </w:rPr>
            </w:pPr>
          </w:p>
        </w:tc>
        <w:tc>
          <w:tcPr>
            <w:tcW w:w="456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3CD16FD6">
            <w:pPr>
              <w:jc w:val="center"/>
              <w:rPr>
                <w:rFonts w:hint="eastAsia" w:ascii="宋体" w:hAnsi="宋体" w:eastAsia="宋体" w:cs="宋体"/>
                <w:sz w:val="18"/>
                <w:szCs w:val="18"/>
              </w:rPr>
            </w:pPr>
            <w:r>
              <w:rPr>
                <w:rFonts w:hint="eastAsia" w:ascii="宋体" w:hAnsi="宋体" w:eastAsia="宋体" w:cs="宋体"/>
                <w:sz w:val="18"/>
                <w:szCs w:val="18"/>
              </w:rPr>
              <w:t>按照</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"http://www.baidu.com/link?url=j06vrs5UQlTRwSD_ewOzULDL_SQBfg31N8XyQaJ805gnDKS9YrfFBZIwQlhRBnI2hAMF157G_fUSVo1t44LeMK" \t "https://www.baidu.com/_blank" </w:instrText>
            </w:r>
            <w:r>
              <w:rPr>
                <w:rFonts w:hint="eastAsia" w:ascii="宋体" w:hAnsi="宋体" w:eastAsia="宋体" w:cs="宋体"/>
                <w:sz w:val="18"/>
                <w:szCs w:val="18"/>
              </w:rPr>
              <w:fldChar w:fldCharType="separate"/>
            </w:r>
            <w:r>
              <w:rPr>
                <w:rFonts w:hint="eastAsia" w:ascii="宋体" w:hAnsi="宋体" w:eastAsia="宋体" w:cs="宋体"/>
                <w:sz w:val="18"/>
                <w:szCs w:val="18"/>
              </w:rPr>
              <w:t>GB/T 3186-2006《色漆、清漆和色漆与清漆用原材料 取样》</w:t>
            </w:r>
            <w:r>
              <w:rPr>
                <w:rFonts w:hint="eastAsia" w:ascii="宋体" w:hAnsi="宋体" w:eastAsia="宋体" w:cs="宋体"/>
                <w:sz w:val="18"/>
                <w:szCs w:val="18"/>
              </w:rPr>
              <w:fldChar w:fldCharType="end"/>
            </w:r>
            <w:r>
              <w:rPr>
                <w:rFonts w:hint="eastAsia" w:ascii="宋体" w:hAnsi="宋体" w:eastAsia="宋体" w:cs="宋体"/>
                <w:sz w:val="18"/>
                <w:szCs w:val="18"/>
              </w:rPr>
              <w:t>标准的规定，在生产企业成品库和销售企业店面的成品包装中随机抽取同一型号规格、同一批次的面漆产品。</w:t>
            </w:r>
          </w:p>
        </w:tc>
      </w:tr>
      <w:tr w14:paraId="66AB005F">
        <w:tblPrEx>
          <w:tblCellMar>
            <w:top w:w="0" w:type="dxa"/>
            <w:left w:w="108" w:type="dxa"/>
            <w:bottom w:w="0" w:type="dxa"/>
            <w:right w:w="108" w:type="dxa"/>
          </w:tblCellMar>
        </w:tblPrEx>
        <w:trPr>
          <w:trHeight w:val="1062" w:hRule="atLeast"/>
          <w:jc w:val="center"/>
        </w:trPr>
        <w:tc>
          <w:tcPr>
            <w:tcW w:w="701" w:type="dxa"/>
            <w:tcBorders>
              <w:top w:val="single" w:color="auto" w:sz="4" w:space="0"/>
              <w:left w:val="single" w:color="auto" w:sz="4" w:space="0"/>
              <w:bottom w:val="single" w:color="auto" w:sz="4" w:space="0"/>
              <w:right w:val="single" w:color="auto" w:sz="4" w:space="0"/>
            </w:tcBorders>
            <w:noWrap w:val="0"/>
            <w:vAlign w:val="center"/>
          </w:tcPr>
          <w:p w14:paraId="0DF9B3BF">
            <w:pPr>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w:t>
            </w:r>
          </w:p>
        </w:tc>
        <w:tc>
          <w:tcPr>
            <w:tcW w:w="99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4908190B">
            <w:pPr>
              <w:jc w:val="center"/>
              <w:rPr>
                <w:rFonts w:hint="eastAsia" w:ascii="宋体" w:hAnsi="宋体" w:eastAsia="宋体" w:cs="宋体"/>
                <w:sz w:val="18"/>
                <w:szCs w:val="18"/>
                <w:lang w:eastAsia="zh-CN"/>
              </w:rPr>
            </w:pPr>
            <w:r>
              <w:rPr>
                <w:rFonts w:hint="eastAsia" w:ascii="宋体" w:hAnsi="宋体" w:eastAsia="宋体" w:cs="宋体"/>
                <w:bCs/>
                <w:sz w:val="18"/>
                <w:szCs w:val="18"/>
              </w:rPr>
              <w:t>合成树脂乳液</w:t>
            </w:r>
            <w:r>
              <w:rPr>
                <w:rFonts w:hint="eastAsia" w:ascii="宋体" w:hAnsi="宋体" w:eastAsia="宋体" w:cs="宋体"/>
                <w:bCs/>
                <w:sz w:val="18"/>
                <w:szCs w:val="18"/>
                <w:lang w:eastAsia="zh-CN"/>
              </w:rPr>
              <w:t>墙面</w:t>
            </w:r>
            <w:r>
              <w:rPr>
                <w:rFonts w:hint="eastAsia" w:ascii="宋体" w:hAnsi="宋体" w:eastAsia="宋体" w:cs="宋体"/>
                <w:bCs/>
                <w:sz w:val="18"/>
                <w:szCs w:val="18"/>
              </w:rPr>
              <w:t>涂料</w:t>
            </w:r>
            <w:r>
              <w:rPr>
                <w:rFonts w:hint="eastAsia" w:ascii="宋体" w:hAnsi="宋体" w:eastAsia="宋体" w:cs="宋体"/>
                <w:bCs/>
                <w:sz w:val="18"/>
                <w:szCs w:val="18"/>
                <w:lang w:eastAsia="zh-CN"/>
              </w:rPr>
              <w:t>（限内墙面漆）</w:t>
            </w:r>
          </w:p>
        </w:tc>
        <w:tc>
          <w:tcPr>
            <w:tcW w:w="117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3A788B2F">
            <w:pPr>
              <w:jc w:val="center"/>
              <w:rPr>
                <w:rFonts w:hint="eastAsia" w:ascii="宋体" w:hAnsi="宋体" w:eastAsia="宋体" w:cs="宋体"/>
                <w:sz w:val="18"/>
                <w:szCs w:val="18"/>
              </w:rPr>
            </w:pPr>
            <w:r>
              <w:rPr>
                <w:rFonts w:hint="eastAsia" w:ascii="宋体" w:hAnsi="宋体" w:eastAsia="宋体" w:cs="宋体"/>
                <w:sz w:val="18"/>
                <w:szCs w:val="18"/>
              </w:rPr>
              <w:t>不小于3kg</w:t>
            </w:r>
          </w:p>
          <w:p w14:paraId="45270694">
            <w:pPr>
              <w:jc w:val="center"/>
              <w:rPr>
                <w:rFonts w:hint="eastAsia" w:ascii="宋体" w:hAnsi="宋体" w:eastAsia="宋体" w:cs="宋体"/>
                <w:kern w:val="2"/>
                <w:sz w:val="18"/>
                <w:szCs w:val="18"/>
                <w:lang w:val="en-US" w:eastAsia="zh-CN" w:bidi="ar-SA"/>
              </w:rPr>
            </w:pPr>
          </w:p>
        </w:tc>
        <w:tc>
          <w:tcPr>
            <w:tcW w:w="1056"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160FE103">
            <w:pPr>
              <w:jc w:val="center"/>
              <w:rPr>
                <w:rFonts w:hint="eastAsia" w:ascii="宋体" w:hAnsi="宋体" w:eastAsia="宋体" w:cs="宋体"/>
                <w:sz w:val="18"/>
                <w:szCs w:val="18"/>
              </w:rPr>
            </w:pPr>
            <w:r>
              <w:rPr>
                <w:rFonts w:hint="eastAsia" w:ascii="宋体" w:hAnsi="宋体" w:eastAsia="宋体" w:cs="宋体"/>
                <w:sz w:val="18"/>
                <w:szCs w:val="18"/>
              </w:rPr>
              <w:t>不小于3kg</w:t>
            </w:r>
          </w:p>
          <w:p w14:paraId="02C1FA03">
            <w:pPr>
              <w:jc w:val="center"/>
              <w:rPr>
                <w:rFonts w:hint="eastAsia" w:ascii="宋体" w:hAnsi="宋体" w:eastAsia="宋体" w:cs="宋体"/>
                <w:kern w:val="2"/>
                <w:sz w:val="18"/>
                <w:szCs w:val="18"/>
                <w:lang w:val="en-US" w:eastAsia="zh-CN" w:bidi="ar-SA"/>
              </w:rPr>
            </w:pPr>
          </w:p>
        </w:tc>
        <w:tc>
          <w:tcPr>
            <w:tcW w:w="456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65149AE8">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按照</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"http://www.baidu.com/link?url=j06vrs5UQlTRwSD_ewOzULDL_SQBfg31N8XyQaJ805gnDKS9YrfFBZIwQlhRBnI2hAMF157G_fUSVo1t44LeMK" \t "https://www.baidu.com/_blank" </w:instrText>
            </w:r>
            <w:r>
              <w:rPr>
                <w:rFonts w:hint="eastAsia" w:ascii="宋体" w:hAnsi="宋体" w:eastAsia="宋体" w:cs="宋体"/>
                <w:sz w:val="18"/>
                <w:szCs w:val="18"/>
              </w:rPr>
              <w:fldChar w:fldCharType="separate"/>
            </w:r>
            <w:r>
              <w:rPr>
                <w:rFonts w:hint="eastAsia" w:ascii="宋体" w:hAnsi="宋体" w:eastAsia="宋体" w:cs="宋体"/>
                <w:sz w:val="18"/>
                <w:szCs w:val="18"/>
              </w:rPr>
              <w:t>GB/T 3186-2006《色漆、清漆和色漆与清漆用原材料 取样》</w:t>
            </w:r>
            <w:r>
              <w:rPr>
                <w:rFonts w:hint="eastAsia" w:ascii="宋体" w:hAnsi="宋体" w:eastAsia="宋体" w:cs="宋体"/>
                <w:sz w:val="18"/>
                <w:szCs w:val="18"/>
              </w:rPr>
              <w:fldChar w:fldCharType="end"/>
            </w:r>
            <w:r>
              <w:rPr>
                <w:rFonts w:hint="eastAsia" w:ascii="宋体" w:hAnsi="宋体" w:eastAsia="宋体" w:cs="宋体"/>
                <w:sz w:val="18"/>
                <w:szCs w:val="18"/>
              </w:rPr>
              <w:t>标准的规定，在生产企业成品库和销售企业店面的成品包装中随机抽取同一型号规格、同一批次的面漆产品。</w:t>
            </w:r>
          </w:p>
        </w:tc>
      </w:tr>
    </w:tbl>
    <w:p w14:paraId="041FE325">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2" w:firstLineChars="200"/>
        <w:textAlignment w:val="auto"/>
        <w:rPr>
          <w:rFonts w:hAnsi="宋体"/>
          <w:b/>
          <w:bCs/>
          <w:szCs w:val="21"/>
        </w:rPr>
      </w:pPr>
      <w:r>
        <w:rPr>
          <w:rFonts w:hAnsi="宋体"/>
          <w:b/>
          <w:bCs/>
          <w:szCs w:val="21"/>
        </w:rPr>
        <w:t>（四）抽样形式</w:t>
      </w:r>
    </w:p>
    <w:p w14:paraId="5A372699">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Arial" w:hAnsi="Arial" w:cs="Arial"/>
          <w:color w:val="auto"/>
          <w:szCs w:val="21"/>
        </w:rPr>
      </w:pPr>
      <w:r>
        <w:rPr>
          <w:rFonts w:hint="eastAsia" w:ascii="Arial" w:hAnsi="Arial" w:cs="Arial"/>
          <w:color w:val="auto"/>
          <w:szCs w:val="21"/>
        </w:rPr>
        <w:t>在企业的成品库内随机抽取有产品质量检验合格证明或者以其他形式表明合格的产品。</w:t>
      </w:r>
    </w:p>
    <w:p w14:paraId="0BD874F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Cs w:val="21"/>
          <w:lang w:eastAsia="zh-CN"/>
        </w:rPr>
      </w:pPr>
      <w:r>
        <w:rPr>
          <w:rFonts w:hint="eastAsia" w:ascii="宋体" w:hAnsi="宋体" w:cs="宋体"/>
          <w:color w:val="auto"/>
          <w:szCs w:val="21"/>
          <w:lang w:eastAsia="zh-CN"/>
        </w:rPr>
        <w:t>在待销商</w:t>
      </w:r>
      <w:r>
        <w:rPr>
          <w:rFonts w:hint="eastAsia" w:ascii="宋体" w:hAnsi="宋体" w:cs="宋体"/>
          <w:color w:val="auto"/>
          <w:szCs w:val="21"/>
          <w:highlight w:val="none"/>
          <w:lang w:eastAsia="zh-CN"/>
        </w:rPr>
        <w:t>户的储存库房随</w:t>
      </w:r>
      <w:r>
        <w:rPr>
          <w:rFonts w:hint="eastAsia" w:ascii="宋体" w:hAnsi="宋体" w:cs="宋体"/>
          <w:color w:val="auto"/>
          <w:szCs w:val="21"/>
          <w:lang w:eastAsia="zh-CN"/>
        </w:rPr>
        <w:t>机抽取待销产品。</w:t>
      </w:r>
    </w:p>
    <w:p w14:paraId="0C0543E1">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szCs w:val="21"/>
        </w:rPr>
      </w:pPr>
      <w:r>
        <w:rPr>
          <w:rFonts w:hint="eastAsia" w:hAnsi="宋体"/>
          <w:b/>
          <w:szCs w:val="21"/>
        </w:rPr>
        <w:t>（五）</w:t>
      </w:r>
      <w:r>
        <w:rPr>
          <w:rFonts w:hAnsi="宋体"/>
          <w:b/>
          <w:szCs w:val="21"/>
        </w:rPr>
        <w:t>样品获取方式</w:t>
      </w:r>
    </w:p>
    <w:p w14:paraId="34476846">
      <w:pPr>
        <w:spacing w:line="360" w:lineRule="auto"/>
        <w:ind w:firstLine="420" w:firstLineChars="200"/>
        <w:rPr>
          <w:rFonts w:hint="eastAsia" w:ascii="宋体" w:hAnsi="宋体" w:cs="宋体"/>
          <w:color w:val="auto"/>
          <w:szCs w:val="21"/>
        </w:rPr>
      </w:pPr>
      <w:r>
        <w:rPr>
          <w:rFonts w:hint="eastAsia" w:ascii="宋体" w:hAnsi="宋体" w:cs="宋体"/>
          <w:color w:val="auto"/>
          <w:szCs w:val="21"/>
          <w:highlight w:val="none"/>
          <w:lang w:eastAsia="zh-CN"/>
        </w:rPr>
        <w:t>检</w:t>
      </w:r>
      <w:r>
        <w:rPr>
          <w:rFonts w:hint="eastAsia" w:ascii="宋体" w:hAnsi="宋体" w:cs="宋体"/>
          <w:color w:val="auto"/>
          <w:szCs w:val="21"/>
          <w:highlight w:val="none"/>
        </w:rPr>
        <w:t>验样品与备份样</w:t>
      </w:r>
      <w:r>
        <w:rPr>
          <w:rFonts w:hint="eastAsia" w:ascii="宋体" w:hAnsi="宋体" w:cs="宋体"/>
          <w:color w:val="auto"/>
          <w:szCs w:val="21"/>
        </w:rPr>
        <w:t>品均以购买的方式获取。抽取样品的单价按照该产品的出厂价</w:t>
      </w:r>
      <w:r>
        <w:rPr>
          <w:rFonts w:hint="eastAsia" w:ascii="宋体" w:hAnsi="宋体" w:cs="宋体"/>
          <w:color w:val="auto"/>
          <w:szCs w:val="21"/>
          <w:lang w:val="en-US" w:eastAsia="zh-CN"/>
        </w:rPr>
        <w:t>或者销售价格</w:t>
      </w:r>
      <w:r>
        <w:rPr>
          <w:rFonts w:hint="eastAsia" w:ascii="宋体" w:hAnsi="宋体" w:cs="宋体"/>
          <w:color w:val="auto"/>
          <w:szCs w:val="21"/>
        </w:rPr>
        <w:t>核算，样品数量按实际抽取的样品量核算；没有标价的，以同类产品的市场价格为准。</w:t>
      </w:r>
    </w:p>
    <w:p w14:paraId="038F8C95">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备份样品封存于检验机构。</w:t>
      </w:r>
    </w:p>
    <w:p w14:paraId="1F192F71">
      <w:pPr>
        <w:adjustRightInd w:val="0"/>
        <w:snapToGrid w:val="0"/>
        <w:spacing w:line="360" w:lineRule="auto"/>
        <w:rPr>
          <w:rFonts w:hAnsi="黑体" w:eastAsia="黑体"/>
          <w:b/>
          <w:szCs w:val="21"/>
        </w:rPr>
      </w:pPr>
    </w:p>
    <w:p w14:paraId="33FD0CA1">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firstLine="422" w:firstLineChars="200"/>
        <w:textAlignment w:val="auto"/>
        <w:rPr>
          <w:rFonts w:hint="eastAsia" w:ascii="Times New Roman" w:hAnsi="黑体" w:eastAsia="黑体" w:cs="Times New Roman"/>
          <w:b/>
          <w:bCs/>
          <w:sz w:val="21"/>
          <w:szCs w:val="21"/>
          <w:lang w:eastAsia="zh-CN"/>
        </w:rPr>
      </w:pPr>
      <w:r>
        <w:rPr>
          <w:rFonts w:hint="eastAsia" w:ascii="Times New Roman" w:hAnsi="黑体" w:eastAsia="黑体" w:cs="Times New Roman"/>
          <w:b/>
          <w:bCs/>
          <w:sz w:val="21"/>
          <w:szCs w:val="21"/>
          <w:lang w:eastAsia="zh-CN"/>
        </w:rPr>
        <w:t>企业生产规模划分</w:t>
      </w:r>
    </w:p>
    <w:p w14:paraId="56765F8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企业生产规模按照国家统计局《统计上大中小微型企业划分办法》进行划分见表2。</w:t>
      </w:r>
    </w:p>
    <w:p w14:paraId="58EC5F02">
      <w:pPr>
        <w:spacing w:line="360" w:lineRule="auto"/>
        <w:ind w:firstLine="360" w:firstLineChars="200"/>
        <w:jc w:val="center"/>
        <w:rPr>
          <w:rFonts w:hint="eastAsia" w:ascii="Arial" w:hAnsi="Arial" w:cs="Arial"/>
          <w:color w:val="auto"/>
          <w:sz w:val="18"/>
          <w:szCs w:val="18"/>
        </w:rPr>
      </w:pPr>
      <w:r>
        <w:rPr>
          <w:rFonts w:hint="eastAsia" w:ascii="宋体" w:hAnsi="宋体" w:cs="宋体"/>
          <w:color w:val="auto"/>
          <w:sz w:val="18"/>
          <w:szCs w:val="18"/>
        </w:rPr>
        <w:t>表2  生产企业规模划分方法</w:t>
      </w:r>
    </w:p>
    <w:tbl>
      <w:tblPr>
        <w:tblStyle w:val="24"/>
        <w:tblW w:w="0" w:type="auto"/>
        <w:jc w:val="center"/>
        <w:tblLayout w:type="fixed"/>
        <w:tblCellMar>
          <w:top w:w="0" w:type="dxa"/>
          <w:left w:w="108" w:type="dxa"/>
          <w:bottom w:w="0" w:type="dxa"/>
          <w:right w:w="108" w:type="dxa"/>
        </w:tblCellMar>
      </w:tblPr>
      <w:tblGrid>
        <w:gridCol w:w="758"/>
        <w:gridCol w:w="1390"/>
        <w:gridCol w:w="851"/>
        <w:gridCol w:w="1276"/>
        <w:gridCol w:w="1587"/>
        <w:gridCol w:w="1588"/>
        <w:gridCol w:w="1096"/>
      </w:tblGrid>
      <w:tr w14:paraId="329E4365">
        <w:tblPrEx>
          <w:tblCellMar>
            <w:top w:w="0" w:type="dxa"/>
            <w:left w:w="108" w:type="dxa"/>
            <w:bottom w:w="0" w:type="dxa"/>
            <w:right w:w="108" w:type="dxa"/>
          </w:tblCellMar>
        </w:tblPrEx>
        <w:trPr>
          <w:trHeight w:val="567" w:hRule="exact"/>
          <w:jc w:val="center"/>
        </w:trPr>
        <w:tc>
          <w:tcPr>
            <w:tcW w:w="758" w:type="dxa"/>
            <w:tcBorders>
              <w:top w:val="single" w:color="auto" w:sz="4" w:space="0"/>
              <w:left w:val="single" w:color="auto" w:sz="4" w:space="0"/>
              <w:bottom w:val="single" w:color="auto" w:sz="4" w:space="0"/>
              <w:right w:val="single" w:color="auto" w:sz="4" w:space="0"/>
            </w:tcBorders>
            <w:noWrap w:val="0"/>
            <w:vAlign w:val="center"/>
          </w:tcPr>
          <w:p w14:paraId="467B4046">
            <w:pPr>
              <w:adjustRightInd w:val="0"/>
              <w:snapToGrid w:val="0"/>
              <w:jc w:val="center"/>
              <w:rPr>
                <w:rFonts w:ascii="宋体" w:hAnsi="宋体"/>
                <w:color w:val="auto"/>
                <w:sz w:val="18"/>
                <w:szCs w:val="18"/>
              </w:rPr>
            </w:pPr>
            <w:r>
              <w:rPr>
                <w:rFonts w:hint="eastAsia" w:ascii="宋体" w:hAnsi="宋体"/>
                <w:color w:val="auto"/>
                <w:sz w:val="18"/>
                <w:szCs w:val="18"/>
              </w:rPr>
              <w:t>行业</w:t>
            </w:r>
            <w:r>
              <w:rPr>
                <w:rFonts w:ascii="宋体" w:hAnsi="宋体"/>
                <w:color w:val="auto"/>
                <w:sz w:val="18"/>
                <w:szCs w:val="18"/>
              </w:rPr>
              <w:t xml:space="preserve">  </w:t>
            </w:r>
            <w:r>
              <w:rPr>
                <w:rFonts w:hint="eastAsia" w:ascii="宋体" w:hAnsi="宋体"/>
                <w:color w:val="auto"/>
                <w:sz w:val="18"/>
                <w:szCs w:val="18"/>
              </w:rPr>
              <w:t>名称</w:t>
            </w:r>
          </w:p>
        </w:tc>
        <w:tc>
          <w:tcPr>
            <w:tcW w:w="1390" w:type="dxa"/>
            <w:tcBorders>
              <w:top w:val="single" w:color="auto" w:sz="4" w:space="0"/>
              <w:left w:val="single" w:color="auto" w:sz="4" w:space="0"/>
              <w:bottom w:val="single" w:color="auto" w:sz="4" w:space="0"/>
              <w:right w:val="single" w:color="auto" w:sz="4" w:space="0"/>
            </w:tcBorders>
            <w:noWrap w:val="0"/>
            <w:vAlign w:val="center"/>
          </w:tcPr>
          <w:p w14:paraId="672F66C5">
            <w:pPr>
              <w:adjustRightInd w:val="0"/>
              <w:snapToGrid w:val="0"/>
              <w:jc w:val="center"/>
              <w:rPr>
                <w:rFonts w:ascii="宋体" w:hAnsi="宋体"/>
                <w:color w:val="auto"/>
                <w:sz w:val="18"/>
                <w:szCs w:val="18"/>
              </w:rPr>
            </w:pPr>
            <w:r>
              <w:rPr>
                <w:rFonts w:hint="eastAsia" w:ascii="宋体" w:hAnsi="宋体"/>
                <w:color w:val="auto"/>
                <w:sz w:val="18"/>
                <w:szCs w:val="18"/>
              </w:rPr>
              <w:t>指标名称</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8076C9F">
            <w:pPr>
              <w:adjustRightInd w:val="0"/>
              <w:snapToGrid w:val="0"/>
              <w:jc w:val="center"/>
              <w:rPr>
                <w:rFonts w:ascii="宋体" w:hAnsi="宋体"/>
                <w:color w:val="auto"/>
                <w:sz w:val="18"/>
                <w:szCs w:val="18"/>
              </w:rPr>
            </w:pPr>
            <w:r>
              <w:rPr>
                <w:rFonts w:hint="eastAsia" w:ascii="宋体" w:hAnsi="宋体"/>
                <w:color w:val="auto"/>
                <w:sz w:val="18"/>
                <w:szCs w:val="18"/>
              </w:rPr>
              <w:t>计量</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27C98EE">
            <w:pPr>
              <w:adjustRightInd w:val="0"/>
              <w:snapToGrid w:val="0"/>
              <w:jc w:val="center"/>
              <w:rPr>
                <w:rFonts w:ascii="宋体" w:hAnsi="宋体"/>
                <w:color w:val="auto"/>
                <w:sz w:val="18"/>
                <w:szCs w:val="18"/>
              </w:rPr>
            </w:pPr>
            <w:r>
              <w:rPr>
                <w:rFonts w:hint="eastAsia" w:ascii="宋体" w:hAnsi="宋体"/>
                <w:color w:val="auto"/>
                <w:sz w:val="18"/>
                <w:szCs w:val="18"/>
              </w:rPr>
              <w:t>大型</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10E54504">
            <w:pPr>
              <w:adjustRightInd w:val="0"/>
              <w:snapToGrid w:val="0"/>
              <w:jc w:val="center"/>
              <w:rPr>
                <w:rFonts w:ascii="宋体" w:hAnsi="宋体"/>
                <w:color w:val="auto"/>
                <w:sz w:val="18"/>
                <w:szCs w:val="18"/>
              </w:rPr>
            </w:pPr>
            <w:r>
              <w:rPr>
                <w:rFonts w:hint="eastAsia" w:ascii="宋体" w:hAnsi="宋体"/>
                <w:color w:val="auto"/>
                <w:sz w:val="18"/>
                <w:szCs w:val="18"/>
              </w:rPr>
              <w:t>中型</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0F0B270B">
            <w:pPr>
              <w:adjustRightInd w:val="0"/>
              <w:snapToGrid w:val="0"/>
              <w:jc w:val="center"/>
              <w:rPr>
                <w:rFonts w:ascii="宋体" w:hAnsi="宋体"/>
                <w:color w:val="auto"/>
                <w:sz w:val="18"/>
                <w:szCs w:val="18"/>
              </w:rPr>
            </w:pPr>
            <w:r>
              <w:rPr>
                <w:rFonts w:hint="eastAsia" w:ascii="宋体" w:hAnsi="宋体"/>
                <w:color w:val="auto"/>
                <w:sz w:val="18"/>
                <w:szCs w:val="18"/>
              </w:rPr>
              <w:t>小型</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5DC7DE46">
            <w:pPr>
              <w:adjustRightInd w:val="0"/>
              <w:snapToGrid w:val="0"/>
              <w:jc w:val="center"/>
              <w:rPr>
                <w:rFonts w:ascii="宋体" w:hAnsi="宋体"/>
                <w:color w:val="auto"/>
                <w:sz w:val="18"/>
                <w:szCs w:val="18"/>
              </w:rPr>
            </w:pPr>
            <w:r>
              <w:rPr>
                <w:rFonts w:hint="eastAsia" w:ascii="宋体" w:hAnsi="宋体"/>
                <w:color w:val="auto"/>
                <w:sz w:val="18"/>
                <w:szCs w:val="18"/>
              </w:rPr>
              <w:t>微型</w:t>
            </w:r>
          </w:p>
        </w:tc>
      </w:tr>
      <w:tr w14:paraId="4F0C064F">
        <w:tblPrEx>
          <w:tblCellMar>
            <w:top w:w="0" w:type="dxa"/>
            <w:left w:w="108" w:type="dxa"/>
            <w:bottom w:w="0" w:type="dxa"/>
            <w:right w:w="108" w:type="dxa"/>
          </w:tblCellMar>
        </w:tblPrEx>
        <w:trPr>
          <w:trHeight w:val="567" w:hRule="exact"/>
          <w:jc w:val="center"/>
        </w:trPr>
        <w:tc>
          <w:tcPr>
            <w:tcW w:w="758" w:type="dxa"/>
            <w:vMerge w:val="restart"/>
            <w:tcBorders>
              <w:top w:val="single" w:color="auto" w:sz="4" w:space="0"/>
              <w:left w:val="single" w:color="auto" w:sz="4" w:space="0"/>
              <w:bottom w:val="single" w:color="auto" w:sz="4" w:space="0"/>
              <w:right w:val="single" w:color="auto" w:sz="4" w:space="0"/>
            </w:tcBorders>
            <w:noWrap w:val="0"/>
            <w:vAlign w:val="center"/>
          </w:tcPr>
          <w:p w14:paraId="47C033FF">
            <w:pPr>
              <w:adjustRightInd w:val="0"/>
              <w:snapToGrid w:val="0"/>
              <w:jc w:val="center"/>
              <w:rPr>
                <w:rFonts w:ascii="宋体" w:hAnsi="宋体"/>
                <w:color w:val="auto"/>
                <w:sz w:val="18"/>
                <w:szCs w:val="18"/>
              </w:rPr>
            </w:pPr>
            <w:r>
              <w:rPr>
                <w:rFonts w:hint="eastAsia" w:ascii="宋体" w:hAnsi="宋体"/>
                <w:color w:val="auto"/>
                <w:sz w:val="18"/>
                <w:szCs w:val="18"/>
              </w:rPr>
              <w:t>工业</w:t>
            </w:r>
          </w:p>
        </w:tc>
        <w:tc>
          <w:tcPr>
            <w:tcW w:w="1390" w:type="dxa"/>
            <w:tcBorders>
              <w:top w:val="single" w:color="auto" w:sz="4" w:space="0"/>
              <w:left w:val="single" w:color="auto" w:sz="4" w:space="0"/>
              <w:bottom w:val="single" w:color="auto" w:sz="4" w:space="0"/>
              <w:right w:val="single" w:color="auto" w:sz="4" w:space="0"/>
            </w:tcBorders>
            <w:noWrap w:val="0"/>
            <w:vAlign w:val="center"/>
          </w:tcPr>
          <w:p w14:paraId="61C0D06D">
            <w:pPr>
              <w:adjustRightInd w:val="0"/>
              <w:snapToGrid w:val="0"/>
              <w:jc w:val="center"/>
              <w:rPr>
                <w:rFonts w:ascii="宋体" w:hAnsi="宋体"/>
                <w:color w:val="auto"/>
                <w:sz w:val="18"/>
                <w:szCs w:val="18"/>
              </w:rPr>
            </w:pPr>
            <w:r>
              <w:rPr>
                <w:rFonts w:hint="eastAsia" w:ascii="宋体" w:hAnsi="宋体"/>
                <w:color w:val="auto"/>
                <w:sz w:val="18"/>
                <w:szCs w:val="18"/>
              </w:rPr>
              <w:t>从业人员</w:t>
            </w:r>
            <w:r>
              <w:rPr>
                <w:rFonts w:ascii="宋体" w:hAnsi="宋体"/>
                <w:color w:val="auto"/>
                <w:sz w:val="18"/>
                <w:szCs w:val="18"/>
              </w:rPr>
              <w:t>(X)</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A48FC7D">
            <w:pPr>
              <w:adjustRightInd w:val="0"/>
              <w:snapToGrid w:val="0"/>
              <w:jc w:val="center"/>
              <w:rPr>
                <w:rFonts w:ascii="宋体" w:hAnsi="宋体"/>
                <w:color w:val="auto"/>
                <w:sz w:val="18"/>
                <w:szCs w:val="18"/>
              </w:rPr>
            </w:pPr>
            <w:r>
              <w:rPr>
                <w:rFonts w:hint="eastAsia" w:ascii="宋体" w:hAnsi="宋体"/>
                <w:color w:val="auto"/>
                <w:sz w:val="18"/>
                <w:szCs w:val="18"/>
              </w:rPr>
              <w:t>人</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532DE7DA">
            <w:pPr>
              <w:adjustRightInd w:val="0"/>
              <w:snapToGrid w:val="0"/>
              <w:jc w:val="center"/>
              <w:rPr>
                <w:rFonts w:ascii="宋体" w:hAnsi="宋体"/>
                <w:color w:val="auto"/>
                <w:sz w:val="18"/>
                <w:szCs w:val="18"/>
              </w:rPr>
            </w:pP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1000</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4C7B721B">
            <w:pPr>
              <w:adjustRightInd w:val="0"/>
              <w:snapToGrid w:val="0"/>
              <w:jc w:val="center"/>
              <w:rPr>
                <w:rFonts w:ascii="宋体" w:hAnsi="宋体"/>
                <w:color w:val="auto"/>
                <w:sz w:val="18"/>
                <w:szCs w:val="18"/>
              </w:rPr>
            </w:pPr>
            <w:r>
              <w:rPr>
                <w:rFonts w:ascii="宋体" w:hAnsi="宋体"/>
                <w:color w:val="auto"/>
                <w:sz w:val="18"/>
                <w:szCs w:val="18"/>
              </w:rPr>
              <w:t>300</w:t>
            </w:r>
            <w:r>
              <w:rPr>
                <w:rFonts w:hint="eastAsia" w:ascii="宋体" w:hAnsi="宋体"/>
                <w:color w:val="auto"/>
                <w:sz w:val="18"/>
                <w:szCs w:val="18"/>
              </w:rPr>
              <w:t>≤</w:t>
            </w: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1000</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5EE933C8">
            <w:pPr>
              <w:adjustRightInd w:val="0"/>
              <w:snapToGrid w:val="0"/>
              <w:jc w:val="center"/>
              <w:rPr>
                <w:rFonts w:ascii="宋体" w:hAnsi="宋体"/>
                <w:color w:val="auto"/>
                <w:sz w:val="18"/>
                <w:szCs w:val="18"/>
              </w:rPr>
            </w:pPr>
            <w:r>
              <w:rPr>
                <w:rFonts w:ascii="宋体" w:hAnsi="宋体"/>
                <w:color w:val="auto"/>
                <w:sz w:val="18"/>
                <w:szCs w:val="18"/>
              </w:rPr>
              <w:t>20</w:t>
            </w:r>
            <w:r>
              <w:rPr>
                <w:rFonts w:hint="eastAsia" w:ascii="宋体" w:hAnsi="宋体"/>
                <w:color w:val="auto"/>
                <w:sz w:val="18"/>
                <w:szCs w:val="18"/>
              </w:rPr>
              <w:t>≤</w:t>
            </w: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300</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05D010C2">
            <w:pPr>
              <w:adjustRightInd w:val="0"/>
              <w:snapToGrid w:val="0"/>
              <w:jc w:val="center"/>
              <w:rPr>
                <w:rFonts w:ascii="宋体" w:hAnsi="宋体"/>
                <w:color w:val="auto"/>
                <w:sz w:val="18"/>
                <w:szCs w:val="18"/>
              </w:rPr>
            </w:pP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20</w:t>
            </w:r>
          </w:p>
        </w:tc>
      </w:tr>
      <w:tr w14:paraId="46F091B2">
        <w:tblPrEx>
          <w:tblCellMar>
            <w:top w:w="0" w:type="dxa"/>
            <w:left w:w="108" w:type="dxa"/>
            <w:bottom w:w="0" w:type="dxa"/>
            <w:right w:w="108" w:type="dxa"/>
          </w:tblCellMar>
        </w:tblPrEx>
        <w:trPr>
          <w:trHeight w:val="567" w:hRule="exact"/>
          <w:jc w:val="center"/>
        </w:trPr>
        <w:tc>
          <w:tcPr>
            <w:tcW w:w="758" w:type="dxa"/>
            <w:vMerge w:val="continue"/>
            <w:tcBorders>
              <w:top w:val="single" w:color="auto" w:sz="4" w:space="0"/>
              <w:left w:val="single" w:color="auto" w:sz="4" w:space="0"/>
              <w:bottom w:val="single" w:color="auto" w:sz="4" w:space="0"/>
              <w:right w:val="single" w:color="auto" w:sz="4" w:space="0"/>
            </w:tcBorders>
            <w:noWrap w:val="0"/>
            <w:vAlign w:val="center"/>
          </w:tcPr>
          <w:p w14:paraId="586E5DC5">
            <w:pPr>
              <w:adjustRightInd w:val="0"/>
              <w:snapToGrid w:val="0"/>
              <w:jc w:val="center"/>
              <w:rPr>
                <w:rFonts w:ascii="宋体" w:hAnsi="宋体"/>
                <w:color w:val="auto"/>
                <w:sz w:val="18"/>
                <w:szCs w:val="18"/>
              </w:rPr>
            </w:pPr>
          </w:p>
        </w:tc>
        <w:tc>
          <w:tcPr>
            <w:tcW w:w="1390" w:type="dxa"/>
            <w:tcBorders>
              <w:top w:val="single" w:color="auto" w:sz="4" w:space="0"/>
              <w:left w:val="single" w:color="auto" w:sz="4" w:space="0"/>
              <w:bottom w:val="single" w:color="auto" w:sz="4" w:space="0"/>
              <w:right w:val="single" w:color="auto" w:sz="4" w:space="0"/>
            </w:tcBorders>
            <w:noWrap w:val="0"/>
            <w:vAlign w:val="center"/>
          </w:tcPr>
          <w:p w14:paraId="4D83A371">
            <w:pPr>
              <w:adjustRightInd w:val="0"/>
              <w:snapToGrid w:val="0"/>
              <w:jc w:val="center"/>
              <w:rPr>
                <w:rFonts w:ascii="宋体" w:hAnsi="宋体"/>
                <w:color w:val="auto"/>
                <w:sz w:val="18"/>
                <w:szCs w:val="18"/>
              </w:rPr>
            </w:pPr>
            <w:r>
              <w:rPr>
                <w:rFonts w:hint="eastAsia" w:ascii="宋体" w:hAnsi="宋体"/>
                <w:color w:val="auto"/>
                <w:sz w:val="18"/>
                <w:szCs w:val="18"/>
              </w:rPr>
              <w:t>营业收入</w:t>
            </w:r>
            <w:r>
              <w:rPr>
                <w:rFonts w:ascii="宋体" w:hAnsi="宋体"/>
                <w:color w:val="auto"/>
                <w:sz w:val="18"/>
                <w:szCs w:val="18"/>
              </w:rPr>
              <w:t>(Y)</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61ECB81">
            <w:pPr>
              <w:adjustRightInd w:val="0"/>
              <w:snapToGrid w:val="0"/>
              <w:jc w:val="center"/>
              <w:rPr>
                <w:rFonts w:ascii="宋体" w:hAnsi="宋体"/>
                <w:color w:val="auto"/>
                <w:sz w:val="18"/>
                <w:szCs w:val="18"/>
              </w:rPr>
            </w:pPr>
            <w:r>
              <w:rPr>
                <w:rFonts w:hint="eastAsia" w:ascii="宋体" w:hAnsi="宋体"/>
                <w:color w:val="auto"/>
                <w:sz w:val="18"/>
                <w:szCs w:val="18"/>
              </w:rPr>
              <w:t>万元</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30227D4">
            <w:pPr>
              <w:adjustRightInd w:val="0"/>
              <w:snapToGrid w:val="0"/>
              <w:jc w:val="center"/>
              <w:rPr>
                <w:rFonts w:ascii="宋体" w:hAnsi="宋体"/>
                <w:color w:val="auto"/>
                <w:sz w:val="18"/>
                <w:szCs w:val="18"/>
              </w:rPr>
            </w:pP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40000</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2A23D6CB">
            <w:pPr>
              <w:adjustRightInd w:val="0"/>
              <w:snapToGrid w:val="0"/>
              <w:jc w:val="center"/>
              <w:rPr>
                <w:rFonts w:ascii="宋体" w:hAnsi="宋体"/>
                <w:color w:val="auto"/>
                <w:sz w:val="18"/>
                <w:szCs w:val="18"/>
              </w:rPr>
            </w:pPr>
            <w:r>
              <w:rPr>
                <w:rFonts w:ascii="宋体" w:hAnsi="宋体"/>
                <w:color w:val="auto"/>
                <w:sz w:val="18"/>
                <w:szCs w:val="18"/>
              </w:rPr>
              <w:t>2000</w:t>
            </w:r>
            <w:r>
              <w:rPr>
                <w:rFonts w:hint="eastAsia" w:ascii="宋体" w:hAnsi="宋体"/>
                <w:color w:val="auto"/>
                <w:sz w:val="18"/>
                <w:szCs w:val="18"/>
              </w:rPr>
              <w:t>≤</w:t>
            </w: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40000</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11AAC51D">
            <w:pPr>
              <w:adjustRightInd w:val="0"/>
              <w:snapToGrid w:val="0"/>
              <w:jc w:val="center"/>
              <w:rPr>
                <w:rFonts w:ascii="宋体" w:hAnsi="宋体"/>
                <w:color w:val="auto"/>
                <w:sz w:val="18"/>
                <w:szCs w:val="18"/>
              </w:rPr>
            </w:pPr>
            <w:r>
              <w:rPr>
                <w:rFonts w:ascii="宋体" w:hAnsi="宋体"/>
                <w:color w:val="auto"/>
                <w:sz w:val="18"/>
                <w:szCs w:val="18"/>
              </w:rPr>
              <w:t>300</w:t>
            </w:r>
            <w:r>
              <w:rPr>
                <w:rFonts w:hint="eastAsia" w:ascii="宋体" w:hAnsi="宋体"/>
                <w:color w:val="auto"/>
                <w:sz w:val="18"/>
                <w:szCs w:val="18"/>
              </w:rPr>
              <w:t>≤</w:t>
            </w: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2000</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0DEC4290">
            <w:pPr>
              <w:adjustRightInd w:val="0"/>
              <w:snapToGrid w:val="0"/>
              <w:jc w:val="center"/>
              <w:rPr>
                <w:rFonts w:ascii="宋体" w:hAnsi="宋体"/>
                <w:color w:val="auto"/>
                <w:sz w:val="18"/>
                <w:szCs w:val="18"/>
              </w:rPr>
            </w:pP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300</w:t>
            </w:r>
          </w:p>
        </w:tc>
      </w:tr>
    </w:tbl>
    <w:p w14:paraId="2E9CAD6C">
      <w:pPr>
        <w:spacing w:line="360" w:lineRule="auto"/>
        <w:ind w:firstLine="360" w:firstLineChars="200"/>
        <w:rPr>
          <w:rFonts w:hint="eastAsia" w:ascii="Arial" w:hAnsi="Arial" w:cs="Arial"/>
          <w:color w:val="auto"/>
          <w:sz w:val="18"/>
          <w:szCs w:val="18"/>
          <w:lang w:eastAsia="zh-CN"/>
        </w:rPr>
      </w:pPr>
      <w:r>
        <w:rPr>
          <w:rFonts w:hint="eastAsia" w:ascii="宋体" w:hAnsi="宋体"/>
          <w:color w:val="auto"/>
          <w:sz w:val="18"/>
          <w:szCs w:val="18"/>
        </w:rPr>
        <w:t>注：</w:t>
      </w:r>
      <w:r>
        <w:rPr>
          <w:rFonts w:hint="eastAsia" w:ascii="Arial" w:hAnsi="Arial" w:cs="Arial"/>
          <w:color w:val="auto"/>
          <w:sz w:val="18"/>
          <w:szCs w:val="18"/>
        </w:rPr>
        <w:t>大型、中型和小型企业须同时满足所列指标的下限，否则下划一档；微型企业只须满足所列指标中的一项即可</w:t>
      </w:r>
      <w:r>
        <w:rPr>
          <w:rFonts w:hint="eastAsia" w:ascii="Arial" w:hAnsi="Arial" w:cs="Arial"/>
          <w:color w:val="auto"/>
          <w:sz w:val="18"/>
          <w:szCs w:val="18"/>
          <w:lang w:eastAsia="zh-CN"/>
        </w:rPr>
        <w:t>。</w:t>
      </w:r>
    </w:p>
    <w:p w14:paraId="3FF5A385">
      <w:pPr>
        <w:adjustRightInd w:val="0"/>
        <w:snapToGrid w:val="0"/>
        <w:spacing w:line="360" w:lineRule="auto"/>
        <w:ind w:firstLine="420" w:firstLineChars="200"/>
        <w:rPr>
          <w:rFonts w:hint="eastAsia" w:ascii="宋体" w:hAnsi="宋体" w:eastAsia="宋体" w:cs="方正仿宋简体"/>
          <w:color w:val="auto"/>
          <w:szCs w:val="21"/>
          <w:lang w:eastAsia="zh-CN"/>
        </w:rPr>
      </w:pPr>
      <w:r>
        <w:rPr>
          <w:rFonts w:hint="eastAsia" w:ascii="宋体" w:hAnsi="宋体" w:eastAsia="宋体" w:cs="方正仿宋简体"/>
          <w:color w:val="auto"/>
          <w:szCs w:val="21"/>
          <w:lang w:eastAsia="zh-CN"/>
        </w:rPr>
        <w:t>流通领域不进行规模划分。</w:t>
      </w:r>
    </w:p>
    <w:p w14:paraId="53096647">
      <w:pPr>
        <w:adjustRightInd w:val="0"/>
        <w:snapToGrid w:val="0"/>
        <w:spacing w:line="360" w:lineRule="auto"/>
        <w:rPr>
          <w:rFonts w:hint="eastAsia" w:ascii="宋体" w:hAnsi="宋体" w:eastAsia="宋体" w:cs="方正仿宋简体"/>
          <w:color w:val="auto"/>
          <w:szCs w:val="21"/>
          <w:lang w:eastAsia="zh-CN"/>
        </w:rPr>
      </w:pPr>
    </w:p>
    <w:p w14:paraId="73DE4CF6">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eastAsia="黑体"/>
          <w:b/>
          <w:szCs w:val="21"/>
        </w:rPr>
      </w:pPr>
      <w:r>
        <w:rPr>
          <w:rFonts w:hAnsi="黑体" w:eastAsia="黑体"/>
          <w:b/>
          <w:szCs w:val="21"/>
        </w:rPr>
        <w:t>三、产品管理情况</w:t>
      </w:r>
    </w:p>
    <w:p w14:paraId="617ABDA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r>
        <w:rPr>
          <w:rFonts w:hint="eastAsia" w:ascii="宋体" w:hAnsi="宋体" w:cs="方正仿宋简体"/>
          <w:szCs w:val="21"/>
        </w:rPr>
        <w:t>本次抽查的合成树脂乳液</w:t>
      </w:r>
      <w:r>
        <w:rPr>
          <w:rFonts w:hint="eastAsia" w:ascii="宋体" w:hAnsi="宋体" w:cs="方正仿宋简体"/>
          <w:szCs w:val="21"/>
          <w:lang w:eastAsia="zh-CN"/>
        </w:rPr>
        <w:t>内墙涂料</w:t>
      </w:r>
      <w:r>
        <w:rPr>
          <w:rFonts w:hint="eastAsia" w:ascii="宋体" w:hAnsi="宋体" w:cs="方正仿宋简体"/>
          <w:szCs w:val="21"/>
        </w:rPr>
        <w:t>产品不属于</w:t>
      </w:r>
      <w:r>
        <w:rPr>
          <w:rFonts w:hint="eastAsia" w:ascii="宋体" w:hAnsi="宋体" w:eastAsia="宋体" w:cs="方正仿宋简体"/>
          <w:szCs w:val="21"/>
        </w:rPr>
        <w:t>工业</w:t>
      </w:r>
      <w:r>
        <w:rPr>
          <w:rFonts w:hint="eastAsia" w:ascii="宋体" w:hAnsi="宋体" w:eastAsia="宋体" w:cs="方正仿宋简体"/>
          <w:szCs w:val="21"/>
          <w:lang w:eastAsia="zh-CN"/>
        </w:rPr>
        <w:t>产品</w:t>
      </w:r>
      <w:r>
        <w:rPr>
          <w:rFonts w:hint="eastAsia" w:ascii="宋体" w:hAnsi="宋体" w:eastAsia="宋体" w:cs="方正仿宋简体"/>
          <w:szCs w:val="21"/>
        </w:rPr>
        <w:t>生产</w:t>
      </w:r>
      <w:r>
        <w:rPr>
          <w:rFonts w:hint="eastAsia" w:ascii="宋体" w:hAnsi="宋体" w:cs="方正仿宋简体"/>
          <w:szCs w:val="21"/>
        </w:rPr>
        <w:t>许可证管理及强制性认证产品。</w:t>
      </w:r>
    </w:p>
    <w:p w14:paraId="44938E7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p>
    <w:p w14:paraId="3EC19F4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rPr>
          <w:rFonts w:eastAsia="黑体"/>
          <w:b/>
          <w:szCs w:val="21"/>
        </w:rPr>
      </w:pPr>
      <w:r>
        <w:rPr>
          <w:rFonts w:hint="eastAsia" w:ascii="黑体" w:hAnsi="黑体" w:eastAsia="黑体"/>
          <w:b/>
          <w:bCs/>
          <w:color w:val="auto"/>
          <w:szCs w:val="21"/>
        </w:rPr>
        <w:t>四、抽查产品的标准体系状况</w:t>
      </w:r>
    </w:p>
    <w:p w14:paraId="05E23DD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szCs w:val="21"/>
          <w:highlight w:val="none"/>
        </w:rPr>
      </w:pPr>
      <w:r>
        <w:rPr>
          <w:rFonts w:hint="eastAsia"/>
          <w:szCs w:val="21"/>
        </w:rPr>
        <w:t>GB/T 9756-2018《合成树脂乳液内墙涂料》</w:t>
      </w:r>
      <w:r>
        <w:rPr>
          <w:rFonts w:hint="eastAsia"/>
          <w:szCs w:val="21"/>
          <w:lang w:eastAsia="zh-CN"/>
        </w:rPr>
        <w:t>标准由石油和化学工业联合会提出，全国涂料和颜料标准化技术委员会归口，于</w:t>
      </w:r>
      <w:r>
        <w:rPr>
          <w:rFonts w:hint="eastAsia"/>
          <w:szCs w:val="21"/>
        </w:rPr>
        <w:t>2018年</w:t>
      </w:r>
      <w:r>
        <w:rPr>
          <w:rFonts w:hint="eastAsia"/>
          <w:szCs w:val="21"/>
          <w:lang w:val="en-US" w:eastAsia="zh-CN"/>
        </w:rPr>
        <w:t>0</w:t>
      </w:r>
      <w:r>
        <w:rPr>
          <w:rFonts w:hint="eastAsia"/>
          <w:szCs w:val="21"/>
        </w:rPr>
        <w:t>6月</w:t>
      </w:r>
      <w:r>
        <w:rPr>
          <w:rFonts w:hint="eastAsia"/>
          <w:szCs w:val="21"/>
          <w:lang w:val="en-US" w:eastAsia="zh-CN"/>
        </w:rPr>
        <w:t>0</w:t>
      </w:r>
      <w:r>
        <w:rPr>
          <w:rFonts w:hint="eastAsia"/>
          <w:szCs w:val="21"/>
        </w:rPr>
        <w:t>7日</w:t>
      </w:r>
      <w:r>
        <w:rPr>
          <w:rFonts w:hint="eastAsia"/>
          <w:szCs w:val="21"/>
          <w:lang w:eastAsia="zh-CN"/>
        </w:rPr>
        <w:t>发布</w:t>
      </w:r>
      <w:r>
        <w:rPr>
          <w:rFonts w:hint="eastAsia"/>
          <w:szCs w:val="21"/>
        </w:rPr>
        <w:t>，2019年</w:t>
      </w:r>
      <w:r>
        <w:rPr>
          <w:rFonts w:hint="eastAsia"/>
          <w:szCs w:val="21"/>
          <w:lang w:val="en-US" w:eastAsia="zh-CN"/>
        </w:rPr>
        <w:t>0</w:t>
      </w:r>
      <w:r>
        <w:rPr>
          <w:rFonts w:hint="eastAsia"/>
          <w:szCs w:val="21"/>
        </w:rPr>
        <w:t>1月</w:t>
      </w:r>
      <w:r>
        <w:rPr>
          <w:rFonts w:hint="eastAsia"/>
          <w:szCs w:val="21"/>
          <w:lang w:val="en-US" w:eastAsia="zh-CN"/>
        </w:rPr>
        <w:t>0</w:t>
      </w:r>
      <w:r>
        <w:rPr>
          <w:rFonts w:hint="eastAsia"/>
          <w:szCs w:val="21"/>
        </w:rPr>
        <w:t>1日</w:t>
      </w:r>
      <w:r>
        <w:rPr>
          <w:rFonts w:hint="eastAsia"/>
          <w:szCs w:val="21"/>
          <w:lang w:eastAsia="zh-CN"/>
        </w:rPr>
        <w:t>实施</w:t>
      </w:r>
      <w:r>
        <w:rPr>
          <w:rFonts w:hint="eastAsia"/>
          <w:szCs w:val="21"/>
          <w:highlight w:val="none"/>
        </w:rPr>
        <w:t>。</w:t>
      </w:r>
    </w:p>
    <w:p w14:paraId="6D13670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szCs w:val="21"/>
          <w:highlight w:val="none"/>
        </w:rPr>
      </w:pPr>
      <w:r>
        <w:rPr>
          <w:rFonts w:hint="eastAsia"/>
          <w:szCs w:val="21"/>
        </w:rPr>
        <w:t>GB/T</w:t>
      </w:r>
      <w:r>
        <w:rPr>
          <w:rFonts w:hint="eastAsia"/>
          <w:szCs w:val="21"/>
          <w:lang w:val="en-US" w:eastAsia="zh-CN"/>
        </w:rPr>
        <w:t xml:space="preserve"> </w:t>
      </w:r>
      <w:r>
        <w:rPr>
          <w:rFonts w:hint="eastAsia"/>
          <w:szCs w:val="21"/>
        </w:rPr>
        <w:t>975</w:t>
      </w:r>
      <w:r>
        <w:rPr>
          <w:rFonts w:hint="eastAsia"/>
          <w:szCs w:val="21"/>
          <w:lang w:val="en-US" w:eastAsia="zh-CN"/>
        </w:rPr>
        <w:t>5</w:t>
      </w:r>
      <w:r>
        <w:rPr>
          <w:rFonts w:hint="eastAsia"/>
          <w:szCs w:val="21"/>
        </w:rPr>
        <w:t>-20</w:t>
      </w:r>
      <w:r>
        <w:rPr>
          <w:rFonts w:hint="eastAsia"/>
          <w:szCs w:val="21"/>
          <w:lang w:val="en-US" w:eastAsia="zh-CN"/>
        </w:rPr>
        <w:t>24</w:t>
      </w:r>
      <w:r>
        <w:rPr>
          <w:rFonts w:hint="eastAsia"/>
          <w:szCs w:val="21"/>
        </w:rPr>
        <w:t>《合成树脂乳液</w:t>
      </w:r>
      <w:r>
        <w:rPr>
          <w:rFonts w:hint="eastAsia"/>
          <w:szCs w:val="21"/>
          <w:lang w:eastAsia="zh-CN"/>
        </w:rPr>
        <w:t>墙面</w:t>
      </w:r>
      <w:r>
        <w:rPr>
          <w:rFonts w:hint="eastAsia"/>
          <w:szCs w:val="21"/>
        </w:rPr>
        <w:t>涂料》</w:t>
      </w:r>
      <w:r>
        <w:rPr>
          <w:rFonts w:hint="eastAsia"/>
          <w:szCs w:val="21"/>
          <w:lang w:eastAsia="zh-CN"/>
        </w:rPr>
        <w:t>标准由石油和化学工业联合会提出，全国涂料和颜料标准化技术委员会归口，标准已于</w:t>
      </w:r>
      <w:r>
        <w:rPr>
          <w:rFonts w:hint="eastAsia"/>
          <w:szCs w:val="21"/>
        </w:rPr>
        <w:t>20</w:t>
      </w:r>
      <w:r>
        <w:rPr>
          <w:rFonts w:hint="eastAsia"/>
          <w:szCs w:val="21"/>
          <w:lang w:val="en-US" w:eastAsia="zh-CN"/>
        </w:rPr>
        <w:t>24</w:t>
      </w:r>
      <w:r>
        <w:rPr>
          <w:rFonts w:hint="eastAsia"/>
          <w:szCs w:val="21"/>
        </w:rPr>
        <w:t>年</w:t>
      </w:r>
      <w:r>
        <w:rPr>
          <w:rFonts w:hint="eastAsia"/>
          <w:szCs w:val="21"/>
          <w:lang w:val="en-US" w:eastAsia="zh-CN"/>
        </w:rPr>
        <w:t>11</w:t>
      </w:r>
      <w:r>
        <w:rPr>
          <w:rFonts w:hint="eastAsia"/>
          <w:szCs w:val="21"/>
        </w:rPr>
        <w:t>月</w:t>
      </w:r>
      <w:r>
        <w:rPr>
          <w:rFonts w:hint="eastAsia"/>
          <w:szCs w:val="21"/>
          <w:lang w:val="en-US" w:eastAsia="zh-CN"/>
        </w:rPr>
        <w:t>28</w:t>
      </w:r>
      <w:r>
        <w:rPr>
          <w:rFonts w:hint="eastAsia"/>
          <w:szCs w:val="21"/>
        </w:rPr>
        <w:t>日</w:t>
      </w:r>
      <w:r>
        <w:rPr>
          <w:rFonts w:hint="eastAsia"/>
          <w:szCs w:val="21"/>
          <w:lang w:eastAsia="zh-CN"/>
        </w:rPr>
        <w:t>发布</w:t>
      </w:r>
      <w:r>
        <w:rPr>
          <w:rFonts w:hint="eastAsia"/>
          <w:szCs w:val="21"/>
        </w:rPr>
        <w:t>，</w:t>
      </w:r>
      <w:r>
        <w:rPr>
          <w:rFonts w:hint="eastAsia"/>
          <w:szCs w:val="21"/>
          <w:lang w:eastAsia="zh-CN"/>
        </w:rPr>
        <w:t>即将于</w:t>
      </w:r>
      <w:r>
        <w:rPr>
          <w:rFonts w:hint="eastAsia"/>
          <w:szCs w:val="21"/>
        </w:rPr>
        <w:t>20</w:t>
      </w:r>
      <w:r>
        <w:rPr>
          <w:rFonts w:hint="eastAsia"/>
          <w:szCs w:val="21"/>
          <w:lang w:val="en-US" w:eastAsia="zh-CN"/>
        </w:rPr>
        <w:t>25</w:t>
      </w:r>
      <w:r>
        <w:rPr>
          <w:rFonts w:hint="eastAsia"/>
          <w:szCs w:val="21"/>
        </w:rPr>
        <w:t>年</w:t>
      </w:r>
      <w:r>
        <w:rPr>
          <w:rFonts w:hint="eastAsia"/>
          <w:szCs w:val="21"/>
          <w:lang w:val="en-US" w:eastAsia="zh-CN"/>
        </w:rPr>
        <w:t>06</w:t>
      </w:r>
      <w:r>
        <w:rPr>
          <w:rFonts w:hint="eastAsia"/>
          <w:szCs w:val="21"/>
        </w:rPr>
        <w:t>月</w:t>
      </w:r>
      <w:r>
        <w:rPr>
          <w:rFonts w:hint="eastAsia"/>
          <w:szCs w:val="21"/>
          <w:lang w:val="en-US" w:eastAsia="zh-CN"/>
        </w:rPr>
        <w:t>0</w:t>
      </w:r>
      <w:r>
        <w:rPr>
          <w:rFonts w:hint="eastAsia"/>
          <w:szCs w:val="21"/>
        </w:rPr>
        <w:t>1日</w:t>
      </w:r>
      <w:r>
        <w:rPr>
          <w:rFonts w:hint="eastAsia"/>
          <w:szCs w:val="21"/>
          <w:lang w:eastAsia="zh-CN"/>
        </w:rPr>
        <w:t>实施</w:t>
      </w:r>
      <w:r>
        <w:rPr>
          <w:rFonts w:hint="eastAsia"/>
          <w:szCs w:val="21"/>
          <w:highlight w:val="none"/>
        </w:rPr>
        <w:t>。</w:t>
      </w:r>
    </w:p>
    <w:p w14:paraId="32F533F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bCs/>
          <w:szCs w:val="28"/>
        </w:rPr>
      </w:pPr>
    </w:p>
    <w:p w14:paraId="185ADDFA">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szCs w:val="21"/>
        </w:rPr>
      </w:pPr>
      <w:r>
        <w:rPr>
          <w:rFonts w:hAnsi="黑体" w:eastAsia="黑体"/>
          <w:b/>
          <w:szCs w:val="21"/>
        </w:rPr>
        <w:t>五、样品处置</w:t>
      </w:r>
    </w:p>
    <w:p w14:paraId="56E4D4CB">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szCs w:val="21"/>
        </w:rPr>
      </w:pPr>
      <w:r>
        <w:rPr>
          <w:rFonts w:hAnsi="宋体"/>
          <w:b/>
          <w:szCs w:val="21"/>
        </w:rPr>
        <w:t>（一）封样</w:t>
      </w:r>
    </w:p>
    <w:p w14:paraId="1E131EF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szCs w:val="21"/>
        </w:rPr>
      </w:pPr>
      <w:r>
        <w:rPr>
          <w:rFonts w:hint="eastAsia" w:ascii="宋体" w:hAnsi="宋体"/>
          <w:szCs w:val="21"/>
        </w:rPr>
        <w:t>抽样人员和受检单位代表检查所抽样品封样无误后，在封条上签字确认，并注明抽样日期，封条贴于盛装样品容器密封处。一份样品作为检验样品，另一份样品作为备用样品，并在封条上注明。</w:t>
      </w:r>
    </w:p>
    <w:p w14:paraId="042C85F5">
      <w:pPr>
        <w:adjustRightInd w:val="0"/>
        <w:snapToGrid w:val="0"/>
        <w:spacing w:line="360" w:lineRule="auto"/>
        <w:ind w:firstLine="422" w:firstLineChars="200"/>
        <w:rPr>
          <w:rFonts w:ascii="宋体" w:hAnsi="宋体"/>
          <w:b/>
          <w:color w:val="auto"/>
          <w:szCs w:val="21"/>
        </w:rPr>
      </w:pPr>
      <w:r>
        <w:rPr>
          <w:rFonts w:hint="eastAsia" w:ascii="宋体" w:hAnsi="宋体"/>
          <w:b/>
          <w:color w:val="auto"/>
          <w:szCs w:val="21"/>
        </w:rPr>
        <w:t>（二）样品保存及运送</w:t>
      </w:r>
    </w:p>
    <w:p w14:paraId="1EE2BC24">
      <w:pPr>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样品保存及运送过程中避免剧烈震动、碰撞、挤压或</w:t>
      </w:r>
      <w:r>
        <w:rPr>
          <w:rFonts w:hint="eastAsia" w:ascii="宋体" w:hAnsi="宋体" w:cs="宋体"/>
          <w:color w:val="auto"/>
          <w:szCs w:val="21"/>
        </w:rPr>
        <w:t>破损</w:t>
      </w:r>
      <w:r>
        <w:rPr>
          <w:rFonts w:hint="eastAsia" w:ascii="宋体" w:hAnsi="宋体"/>
          <w:color w:val="auto"/>
          <w:szCs w:val="21"/>
        </w:rPr>
        <w:t>，注意防潮。</w:t>
      </w:r>
    </w:p>
    <w:p w14:paraId="2CACAA24">
      <w:pPr>
        <w:adjustRightInd w:val="0"/>
        <w:snapToGrid w:val="0"/>
        <w:spacing w:line="360" w:lineRule="auto"/>
        <w:ind w:firstLine="422" w:firstLineChars="200"/>
        <w:rPr>
          <w:rFonts w:ascii="宋体" w:hAnsi="宋体"/>
          <w:b/>
          <w:color w:val="auto"/>
          <w:szCs w:val="21"/>
        </w:rPr>
      </w:pPr>
      <w:r>
        <w:rPr>
          <w:rFonts w:hint="eastAsia" w:ascii="宋体" w:hAnsi="宋体"/>
          <w:b/>
          <w:color w:val="auto"/>
        </w:rPr>
        <w:t>（三）样品送达和检查</w:t>
      </w:r>
    </w:p>
    <w:p w14:paraId="543EDE28">
      <w:pPr>
        <w:adjustRightInd w:val="0"/>
        <w:snapToGrid w:val="0"/>
        <w:spacing w:line="360" w:lineRule="auto"/>
        <w:ind w:firstLine="420" w:firstLineChars="200"/>
        <w:rPr>
          <w:rFonts w:ascii="宋体" w:hAnsi="宋体"/>
          <w:color w:val="auto"/>
          <w:szCs w:val="21"/>
        </w:rPr>
      </w:pPr>
      <w:r>
        <w:rPr>
          <w:rFonts w:hint="eastAsia"/>
          <w:bCs/>
          <w:color w:val="auto"/>
        </w:rPr>
        <w:t>抽样人员应将所抽检验样品</w:t>
      </w:r>
      <w:r>
        <w:rPr>
          <w:rFonts w:hint="eastAsia" w:ascii="宋体" w:hAnsi="宋体"/>
          <w:color w:val="auto"/>
          <w:szCs w:val="21"/>
        </w:rPr>
        <w:t>和备用样品</w:t>
      </w:r>
      <w:r>
        <w:rPr>
          <w:rFonts w:hint="eastAsia"/>
          <w:bCs/>
          <w:color w:val="auto"/>
        </w:rPr>
        <w:t>，以及该样品抽样文书等资料用纸箱或包装袋包装后邮寄或送达指定检验机构。</w:t>
      </w:r>
      <w:r>
        <w:rPr>
          <w:rFonts w:hint="eastAsia" w:ascii="宋体" w:hAnsi="宋体" w:cs="宋体"/>
          <w:color w:val="auto"/>
          <w:szCs w:val="21"/>
        </w:rPr>
        <w:t>检测机构在样品接收时应进行样品登记，查验封条是否完好，</w:t>
      </w:r>
      <w:r>
        <w:rPr>
          <w:rFonts w:hint="eastAsia" w:ascii="宋体" w:hAnsi="宋体"/>
          <w:color w:val="auto"/>
          <w:szCs w:val="21"/>
        </w:rPr>
        <w:t>寄递包装、样品包装</w:t>
      </w:r>
      <w:r>
        <w:rPr>
          <w:rFonts w:hint="eastAsia" w:ascii="宋体" w:hAnsi="宋体" w:cs="宋体"/>
          <w:color w:val="auto"/>
          <w:szCs w:val="21"/>
        </w:rPr>
        <w:t>是否损坏，如发现包装破损，应及时确认样品损坏情况，检查是否影响检测工作，做好记录，</w:t>
      </w:r>
      <w:r>
        <w:rPr>
          <w:rFonts w:hint="eastAsia" w:ascii="宋体" w:hAnsi="宋体"/>
          <w:color w:val="auto"/>
          <w:szCs w:val="21"/>
        </w:rPr>
        <w:t>确认样品与抽样单中的记录是否相符。对检验样品进行唯一标识后入库。</w:t>
      </w:r>
    </w:p>
    <w:p w14:paraId="151281A2">
      <w:pPr>
        <w:adjustRightInd w:val="0"/>
        <w:snapToGrid w:val="0"/>
        <w:spacing w:line="360" w:lineRule="auto"/>
        <w:ind w:firstLine="422" w:firstLineChars="200"/>
        <w:rPr>
          <w:rFonts w:ascii="宋体"/>
          <w:b/>
          <w:color w:val="auto"/>
          <w:szCs w:val="21"/>
        </w:rPr>
      </w:pPr>
      <w:r>
        <w:rPr>
          <w:rFonts w:hint="eastAsia" w:ascii="宋体" w:hAnsi="宋体"/>
          <w:b/>
          <w:color w:val="auto"/>
          <w:szCs w:val="21"/>
        </w:rPr>
        <w:t>（四）现场取证</w:t>
      </w:r>
    </w:p>
    <w:p w14:paraId="24509E2B">
      <w:pPr>
        <w:pStyle w:val="13"/>
        <w:spacing w:line="360" w:lineRule="auto"/>
        <w:ind w:firstLine="420" w:firstLineChars="200"/>
        <w:rPr>
          <w:rFonts w:hint="eastAsia" w:hAnsi="Courier New" w:eastAsia="宋体" w:cs="Times New Roman"/>
          <w:bCs/>
          <w:color w:val="auto"/>
          <w:sz w:val="21"/>
        </w:rPr>
      </w:pPr>
      <w:r>
        <w:rPr>
          <w:rFonts w:hint="eastAsia"/>
          <w:bCs/>
          <w:color w:val="auto"/>
          <w:sz w:val="21"/>
        </w:rPr>
        <w:t>抽样人员</w:t>
      </w:r>
      <w:r>
        <w:rPr>
          <w:rFonts w:hint="eastAsia" w:hAnsi="宋体"/>
          <w:color w:val="auto"/>
          <w:sz w:val="21"/>
        </w:rPr>
        <w:t>应对抽样现场、贮存环境、样品标识、库存数量等进行拍照或摄像记录，并适时编制抽样过程的音频和录像记录清单。对抽查样品状态及其他可能影响抽查结果的情形，采用</w:t>
      </w:r>
      <w:r>
        <w:rPr>
          <w:rFonts w:hint="eastAsia" w:hAnsi="Courier New" w:eastAsia="宋体" w:cs="Times New Roman"/>
          <w:bCs/>
          <w:color w:val="auto"/>
          <w:sz w:val="21"/>
        </w:rPr>
        <w:t>拍照方式进行现场取证，并将照片保留24个月。现场取得的证据包括：</w:t>
      </w:r>
    </w:p>
    <w:p w14:paraId="4F3E6EB6">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1.被抽样生产者</w:t>
      </w:r>
      <w:r>
        <w:rPr>
          <w:rFonts w:hint="eastAsia" w:hAnsi="Courier New" w:eastAsia="宋体" w:cs="Times New Roman"/>
          <w:bCs/>
          <w:color w:val="auto"/>
          <w:sz w:val="21"/>
          <w:lang w:eastAsia="zh-CN"/>
        </w:rPr>
        <w:t>或</w:t>
      </w:r>
      <w:r>
        <w:rPr>
          <w:rFonts w:hint="eastAsia" w:hAnsi="Courier New" w:eastAsia="宋体" w:cs="Times New Roman"/>
          <w:bCs/>
          <w:color w:val="auto"/>
          <w:sz w:val="21"/>
        </w:rPr>
        <w:t>销售者外观照片，若悬挂名称的，应包含在照片内；</w:t>
      </w:r>
    </w:p>
    <w:p w14:paraId="1FE650B1">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2.被抽样生产者</w:t>
      </w:r>
      <w:r>
        <w:rPr>
          <w:rFonts w:hint="eastAsia" w:hAnsi="Courier New" w:eastAsia="宋体" w:cs="Times New Roman"/>
          <w:bCs/>
          <w:color w:val="auto"/>
          <w:sz w:val="21"/>
          <w:lang w:eastAsia="zh-CN"/>
        </w:rPr>
        <w:t>或</w:t>
      </w:r>
      <w:r>
        <w:rPr>
          <w:rFonts w:hint="eastAsia" w:hAnsi="Courier New" w:eastAsia="宋体" w:cs="Times New Roman"/>
          <w:bCs/>
          <w:color w:val="auto"/>
          <w:sz w:val="21"/>
        </w:rPr>
        <w:t>销售者营业执照复印件或照片；</w:t>
      </w:r>
    </w:p>
    <w:p w14:paraId="180B4098">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3.抽样人员抽取样品照片，应包含有抽样人员和样品信息（拍摄被抽产品批的编号、随机数产生、按随机数从不同部位抽取样品、封样的过程等）；</w:t>
      </w:r>
    </w:p>
    <w:p w14:paraId="43FE34C0">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4.被抽查产品的贮存环境、库存数量等通过拍照或者录像的方式留存证据；</w:t>
      </w:r>
    </w:p>
    <w:p w14:paraId="0B4EB1A0">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5.从不同部位抽取的含有外包装的样品照片（照片上可基本反映产品信息）；</w:t>
      </w:r>
    </w:p>
    <w:p w14:paraId="34542E25">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6.查验抽查样品完好性，拍摄样品外观（正面、侧面等角度）、标识或铭牌（若有）、合格证、随机部件等照片；</w:t>
      </w:r>
    </w:p>
    <w:p w14:paraId="50B3318D">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7.封样完毕后，所封样品码放整齐后的外观照片和封条近照；</w:t>
      </w:r>
    </w:p>
    <w:p w14:paraId="15E404CB">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8.同时包含所封样品、抽样人员(两名)和被抽查企业人员的照片；</w:t>
      </w:r>
    </w:p>
    <w:p w14:paraId="52956CDF">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9.被抽样生产者</w:t>
      </w:r>
      <w:r>
        <w:rPr>
          <w:rFonts w:hint="eastAsia" w:hAnsi="Courier New" w:eastAsia="宋体" w:cs="Times New Roman"/>
          <w:bCs/>
          <w:color w:val="auto"/>
          <w:sz w:val="21"/>
          <w:lang w:eastAsia="zh-CN"/>
        </w:rPr>
        <w:t>或</w:t>
      </w:r>
      <w:r>
        <w:rPr>
          <w:rFonts w:hint="eastAsia" w:hAnsi="Courier New" w:eastAsia="宋体" w:cs="Times New Roman"/>
          <w:bCs/>
          <w:color w:val="auto"/>
          <w:sz w:val="21"/>
        </w:rPr>
        <w:t>销售者相关人员在《产品质量监督抽查/复查抽样单》上确认签字的照片；</w:t>
      </w:r>
    </w:p>
    <w:p w14:paraId="762AACA9">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10.每</w:t>
      </w:r>
      <w:r>
        <w:rPr>
          <w:rFonts w:hint="eastAsia" w:hAnsi="Courier New" w:eastAsia="宋体" w:cs="Times New Roman"/>
          <w:bCs/>
          <w:color w:val="auto"/>
          <w:sz w:val="21"/>
          <w:lang w:eastAsia="zh-CN"/>
        </w:rPr>
        <w:t>个被抽检对象</w:t>
      </w:r>
      <w:r>
        <w:rPr>
          <w:rFonts w:hint="eastAsia" w:hAnsi="Courier New" w:eastAsia="宋体" w:cs="Times New Roman"/>
          <w:bCs/>
          <w:color w:val="auto"/>
          <w:sz w:val="21"/>
        </w:rPr>
        <w:t>至少拍摄清晰照片为9-10张；</w:t>
      </w:r>
    </w:p>
    <w:p w14:paraId="3A67B1B2">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11.抽样工作实施过程，如采用全程视频，则无需拍照，只需在上述节点保证清晰画面即可。</w:t>
      </w:r>
    </w:p>
    <w:p w14:paraId="669F537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szCs w:val="21"/>
        </w:rPr>
      </w:pPr>
    </w:p>
    <w:p w14:paraId="74706C42">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firstLine="422" w:firstLineChars="200"/>
        <w:textAlignment w:val="auto"/>
        <w:rPr>
          <w:rFonts w:hAnsi="黑体" w:eastAsia="黑体"/>
          <w:b/>
          <w:szCs w:val="21"/>
        </w:rPr>
      </w:pPr>
      <w:r>
        <w:rPr>
          <w:rFonts w:hAnsi="黑体" w:eastAsia="黑体"/>
          <w:b/>
          <w:szCs w:val="21"/>
        </w:rPr>
        <w:t>检验应注意的问题</w:t>
      </w:r>
    </w:p>
    <w:p w14:paraId="578F75B6">
      <w:pPr>
        <w:spacing w:line="360" w:lineRule="auto"/>
        <w:ind w:firstLine="422" w:firstLineChars="200"/>
        <w:rPr>
          <w:rFonts w:hAnsi="黑体" w:eastAsia="黑体"/>
          <w:b/>
          <w:szCs w:val="21"/>
        </w:rPr>
      </w:pPr>
      <w:r>
        <w:rPr>
          <w:rFonts w:hint="eastAsia" w:ascii="宋体" w:hAnsi="宋体"/>
          <w:b/>
          <w:bCs/>
          <w:color w:val="auto"/>
          <w:szCs w:val="21"/>
        </w:rPr>
        <w:t>（一）检验应注意的问题</w:t>
      </w:r>
    </w:p>
    <w:p w14:paraId="1A4D691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Cs w:val="21"/>
        </w:rPr>
      </w:pPr>
      <w:r>
        <w:rPr>
          <w:rFonts w:hint="eastAsia"/>
          <w:szCs w:val="21"/>
        </w:rPr>
        <w:t>样品开封后应立即搅拌、取样，取样后及时密闭样品盛装容器，在适当条件下贮存。</w:t>
      </w:r>
    </w:p>
    <w:p w14:paraId="15B83C2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Cs w:val="21"/>
        </w:rPr>
      </w:pPr>
      <w:r>
        <w:rPr>
          <w:rFonts w:hint="eastAsia"/>
          <w:szCs w:val="21"/>
          <w:highlight w:val="none"/>
        </w:rPr>
        <w:t>检验</w:t>
      </w:r>
      <w:r>
        <w:rPr>
          <w:rFonts w:hint="eastAsia"/>
          <w:szCs w:val="21"/>
        </w:rPr>
        <w:t>过程中应按照产品标准要求及产品特性做好个人防护，安全操作。检验结果数值修约按相关产品标准规定执行。</w:t>
      </w:r>
    </w:p>
    <w:p w14:paraId="1E0794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Cs w:val="21"/>
        </w:rPr>
      </w:pPr>
      <w:r>
        <w:rPr>
          <w:rFonts w:hint="eastAsia" w:ascii="宋体" w:hAnsi="宋体"/>
          <w:szCs w:val="21"/>
        </w:rPr>
        <w:t>对比率项检测用聚酯膜法。</w:t>
      </w:r>
    </w:p>
    <w:p w14:paraId="1D5AA7E2">
      <w:pPr>
        <w:numPr>
          <w:ilvl w:val="0"/>
          <w:numId w:val="0"/>
        </w:numPr>
        <w:snapToGrid w:val="0"/>
        <w:spacing w:line="360" w:lineRule="auto"/>
        <w:ind w:leftChars="200"/>
        <w:rPr>
          <w:rFonts w:hint="eastAsia" w:ascii="宋体" w:hAnsi="宋体" w:cs="宋体"/>
          <w:kern w:val="0"/>
          <w:szCs w:val="21"/>
        </w:rPr>
      </w:pPr>
      <w:r>
        <w:rPr>
          <w:rFonts w:hint="eastAsia"/>
          <w:b/>
          <w:bCs/>
          <w:color w:val="auto"/>
          <w:lang w:eastAsia="zh-CN"/>
        </w:rPr>
        <w:t>（二）</w:t>
      </w:r>
      <w:r>
        <w:rPr>
          <w:rFonts w:hint="eastAsia"/>
          <w:b/>
          <w:bCs/>
          <w:color w:val="auto"/>
        </w:rPr>
        <w:t>检验结论</w:t>
      </w:r>
    </w:p>
    <w:p w14:paraId="4A76576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kern w:val="0"/>
          <w:szCs w:val="21"/>
        </w:rPr>
      </w:pPr>
      <w:r>
        <w:rPr>
          <w:rFonts w:hint="eastAsia" w:ascii="宋体" w:hAnsi="宋体" w:cs="宋体"/>
          <w:kern w:val="0"/>
          <w:szCs w:val="21"/>
          <w:lang w:val="en-US" w:eastAsia="zh-CN"/>
        </w:rPr>
        <w:t>1</w:t>
      </w:r>
      <w:r>
        <w:rPr>
          <w:rFonts w:hint="eastAsia" w:ascii="宋体" w:hAnsi="宋体" w:cs="宋体"/>
          <w:kern w:val="0"/>
          <w:szCs w:val="21"/>
        </w:rPr>
        <w:t>.经抽样检验，所检项目符合</w:t>
      </w:r>
      <w:r>
        <w:rPr>
          <w:rFonts w:hint="eastAsia" w:ascii="宋体" w:hAnsi="宋体" w:eastAsia="宋体" w:cs="Times New Roman"/>
          <w:szCs w:val="21"/>
          <w:lang w:val="en-US" w:eastAsia="zh-CN"/>
        </w:rPr>
        <w:t>GB/T 9756-2018</w:t>
      </w:r>
      <w:r>
        <w:rPr>
          <w:rFonts w:hint="eastAsia" w:ascii="宋体" w:hAnsi="宋体" w:cs="宋体"/>
          <w:kern w:val="0"/>
          <w:szCs w:val="21"/>
        </w:rPr>
        <w:t>标准的规定，依据《</w:t>
      </w:r>
      <w:r>
        <w:rPr>
          <w:rFonts w:hint="eastAsia" w:ascii="宋体" w:hAnsi="宋体" w:cs="宋体"/>
          <w:kern w:val="0"/>
          <w:szCs w:val="21"/>
          <w:lang w:eastAsia="zh-CN"/>
        </w:rPr>
        <w:t>2025</w:t>
      </w:r>
      <w:r>
        <w:rPr>
          <w:rFonts w:hint="eastAsia" w:ascii="宋体" w:hAnsi="宋体" w:cs="宋体"/>
          <w:kern w:val="0"/>
          <w:szCs w:val="21"/>
          <w:lang w:val="en-US" w:eastAsia="zh-CN"/>
        </w:rPr>
        <w:t>年新疆昌吉国家农业高新技术产业示范区合成树脂乳液墙面涂料</w:t>
      </w:r>
      <w:r>
        <w:rPr>
          <w:rFonts w:hint="eastAsia" w:ascii="宋体" w:hAnsi="宋体" w:cs="宋体"/>
          <w:kern w:val="0"/>
          <w:szCs w:val="21"/>
        </w:rPr>
        <w:t>产品质量监督抽查实施细则》，判定为</w:t>
      </w:r>
      <w:r>
        <w:rPr>
          <w:rFonts w:hint="eastAsia" w:ascii="宋体" w:hAnsi="宋体" w:cs="宋体"/>
          <w:lang w:eastAsia="zh-CN"/>
        </w:rPr>
        <w:t>未发现不</w:t>
      </w:r>
      <w:r>
        <w:rPr>
          <w:rFonts w:hint="eastAsia" w:ascii="宋体" w:hAnsi="宋体" w:cs="宋体"/>
        </w:rPr>
        <w:t>合格</w:t>
      </w:r>
      <w:r>
        <w:rPr>
          <w:rFonts w:hint="eastAsia" w:ascii="宋体" w:hAnsi="宋体" w:cs="宋体"/>
          <w:kern w:val="0"/>
          <w:szCs w:val="21"/>
        </w:rPr>
        <w:t>。</w:t>
      </w:r>
    </w:p>
    <w:p w14:paraId="084F354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.经抽样检验，XX项目不符合</w:t>
      </w:r>
      <w:r>
        <w:rPr>
          <w:rFonts w:hint="eastAsia" w:ascii="宋体" w:hAnsi="宋体" w:eastAsia="宋体" w:cs="Times New Roman"/>
          <w:szCs w:val="21"/>
          <w:lang w:val="en-US" w:eastAsia="zh-CN"/>
        </w:rPr>
        <w:t>GB/T 9756-2018</w:t>
      </w:r>
      <w:r>
        <w:rPr>
          <w:rFonts w:hint="eastAsia" w:ascii="宋体" w:hAnsi="宋体" w:cs="宋体"/>
          <w:kern w:val="0"/>
          <w:szCs w:val="21"/>
        </w:rPr>
        <w:t>标准的规定，依据《</w:t>
      </w:r>
      <w:r>
        <w:rPr>
          <w:rFonts w:hint="eastAsia" w:ascii="宋体" w:hAnsi="宋体" w:cs="宋体"/>
          <w:kern w:val="0"/>
          <w:szCs w:val="21"/>
          <w:lang w:eastAsia="zh-CN"/>
        </w:rPr>
        <w:t>2025</w:t>
      </w:r>
      <w:r>
        <w:rPr>
          <w:rFonts w:hint="eastAsia" w:ascii="宋体" w:hAnsi="宋体" w:cs="宋体"/>
          <w:kern w:val="0"/>
          <w:szCs w:val="21"/>
          <w:lang w:val="en-US" w:eastAsia="zh-CN"/>
        </w:rPr>
        <w:t>年新疆昌吉国家农业高新技术产业示范区合成树脂乳液墙面涂料</w:t>
      </w:r>
      <w:r>
        <w:rPr>
          <w:rFonts w:hint="eastAsia" w:ascii="宋体" w:hAnsi="宋体" w:cs="宋体"/>
          <w:kern w:val="0"/>
          <w:szCs w:val="21"/>
        </w:rPr>
        <w:t>产品质量监督抽查实施细则》，判定为</w:t>
      </w:r>
      <w:r>
        <w:rPr>
          <w:rFonts w:hint="eastAsia" w:ascii="宋体" w:hAnsi="宋体" w:cs="宋体"/>
          <w:lang w:eastAsia="zh-CN"/>
        </w:rPr>
        <w:t>被抽查产品</w:t>
      </w:r>
      <w:r>
        <w:rPr>
          <w:rFonts w:hint="eastAsia" w:ascii="宋体" w:hAnsi="宋体" w:cs="宋体"/>
          <w:kern w:val="0"/>
          <w:szCs w:val="21"/>
          <w:lang w:eastAsia="zh-CN"/>
        </w:rPr>
        <w:t>不</w:t>
      </w:r>
      <w:r>
        <w:rPr>
          <w:rFonts w:hint="eastAsia" w:ascii="宋体" w:hAnsi="宋体" w:cs="宋体"/>
          <w:kern w:val="0"/>
          <w:szCs w:val="21"/>
        </w:rPr>
        <w:t>合格。</w:t>
      </w:r>
    </w:p>
    <w:p w14:paraId="293FBA9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kern w:val="0"/>
          <w:szCs w:val="21"/>
        </w:rPr>
      </w:pPr>
      <w:r>
        <w:rPr>
          <w:rFonts w:hint="eastAsia" w:ascii="宋体" w:hAnsi="宋体" w:cs="宋体"/>
          <w:kern w:val="0"/>
          <w:szCs w:val="21"/>
          <w:lang w:val="en-US" w:eastAsia="zh-CN"/>
        </w:rPr>
        <w:t>3.</w:t>
      </w:r>
      <w:r>
        <w:rPr>
          <w:rFonts w:hint="eastAsia" w:ascii="宋体" w:hAnsi="宋体" w:cs="宋体"/>
          <w:kern w:val="0"/>
          <w:szCs w:val="21"/>
        </w:rPr>
        <w:t>经抽样检验，所检项目符合</w:t>
      </w:r>
      <w:r>
        <w:rPr>
          <w:rFonts w:hint="eastAsia" w:ascii="宋体" w:hAnsi="宋体" w:eastAsia="宋体" w:cs="Times New Roman"/>
          <w:szCs w:val="21"/>
          <w:lang w:val="en-US" w:eastAsia="zh-CN"/>
        </w:rPr>
        <w:t>GB/T 9755-2024</w:t>
      </w:r>
      <w:r>
        <w:rPr>
          <w:rFonts w:hint="eastAsia" w:ascii="宋体" w:hAnsi="宋体" w:cs="宋体"/>
          <w:kern w:val="0"/>
          <w:szCs w:val="21"/>
        </w:rPr>
        <w:t>标准的规定，依据《</w:t>
      </w:r>
      <w:r>
        <w:rPr>
          <w:rFonts w:hint="eastAsia" w:ascii="宋体" w:hAnsi="宋体" w:cs="宋体"/>
          <w:kern w:val="0"/>
          <w:szCs w:val="21"/>
          <w:lang w:eastAsia="zh-CN"/>
        </w:rPr>
        <w:t>2025</w:t>
      </w:r>
      <w:r>
        <w:rPr>
          <w:rFonts w:hint="eastAsia" w:ascii="宋体" w:hAnsi="宋体" w:cs="宋体"/>
          <w:kern w:val="0"/>
          <w:szCs w:val="21"/>
          <w:lang w:val="en-US" w:eastAsia="zh-CN"/>
        </w:rPr>
        <w:t>年新疆昌吉国家农业高新技术产业示范区合成树脂乳液墙面涂料</w:t>
      </w:r>
      <w:r>
        <w:rPr>
          <w:rFonts w:hint="eastAsia" w:ascii="宋体" w:hAnsi="宋体" w:cs="宋体"/>
          <w:kern w:val="0"/>
          <w:szCs w:val="21"/>
        </w:rPr>
        <w:t>产品质量监督抽查实施细则》，判定为</w:t>
      </w:r>
      <w:r>
        <w:rPr>
          <w:rFonts w:hint="eastAsia" w:ascii="宋体" w:hAnsi="宋体" w:cs="宋体"/>
          <w:lang w:eastAsia="zh-CN"/>
        </w:rPr>
        <w:t>未发现不</w:t>
      </w:r>
      <w:r>
        <w:rPr>
          <w:rFonts w:hint="eastAsia" w:ascii="宋体" w:hAnsi="宋体" w:cs="宋体"/>
        </w:rPr>
        <w:t>合格</w:t>
      </w:r>
      <w:r>
        <w:rPr>
          <w:rFonts w:hint="eastAsia" w:ascii="宋体" w:hAnsi="宋体" w:cs="宋体"/>
          <w:kern w:val="0"/>
          <w:szCs w:val="21"/>
        </w:rPr>
        <w:t>。</w:t>
      </w:r>
    </w:p>
    <w:p w14:paraId="33DB50B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kern w:val="0"/>
          <w:szCs w:val="21"/>
        </w:rPr>
      </w:pPr>
      <w:r>
        <w:rPr>
          <w:rFonts w:hint="eastAsia" w:ascii="宋体" w:hAnsi="宋体" w:cs="宋体"/>
          <w:kern w:val="0"/>
          <w:szCs w:val="21"/>
          <w:lang w:val="en-US" w:eastAsia="zh-CN"/>
        </w:rPr>
        <w:t>4.</w:t>
      </w:r>
      <w:r>
        <w:rPr>
          <w:rFonts w:hint="eastAsia" w:ascii="宋体" w:hAnsi="宋体" w:cs="宋体"/>
          <w:kern w:val="0"/>
          <w:szCs w:val="21"/>
        </w:rPr>
        <w:t>经抽样检验，XX项目不符合</w:t>
      </w:r>
      <w:r>
        <w:rPr>
          <w:rFonts w:hint="eastAsia" w:ascii="宋体" w:hAnsi="宋体" w:eastAsia="宋体" w:cs="Times New Roman"/>
          <w:szCs w:val="21"/>
          <w:lang w:val="en-US" w:eastAsia="zh-CN"/>
        </w:rPr>
        <w:t>GB/T 9755-2024</w:t>
      </w:r>
      <w:r>
        <w:rPr>
          <w:rFonts w:hint="eastAsia" w:ascii="宋体" w:hAnsi="宋体" w:cs="宋体"/>
          <w:kern w:val="0"/>
          <w:szCs w:val="21"/>
        </w:rPr>
        <w:t>标准的规定，依据《</w:t>
      </w:r>
      <w:r>
        <w:rPr>
          <w:rFonts w:hint="eastAsia" w:ascii="宋体" w:hAnsi="宋体" w:cs="宋体"/>
          <w:kern w:val="0"/>
          <w:szCs w:val="21"/>
          <w:lang w:eastAsia="zh-CN"/>
        </w:rPr>
        <w:t>2025</w:t>
      </w:r>
      <w:r>
        <w:rPr>
          <w:rFonts w:hint="eastAsia" w:ascii="宋体" w:hAnsi="宋体" w:cs="宋体"/>
          <w:kern w:val="0"/>
          <w:szCs w:val="21"/>
          <w:lang w:val="en-US" w:eastAsia="zh-CN"/>
        </w:rPr>
        <w:t>年新疆昌吉国家农业高新技术产业示范区合成树脂乳液墙面涂料</w:t>
      </w:r>
      <w:r>
        <w:rPr>
          <w:rFonts w:hint="eastAsia" w:ascii="宋体" w:hAnsi="宋体" w:cs="宋体"/>
          <w:kern w:val="0"/>
          <w:szCs w:val="21"/>
        </w:rPr>
        <w:t>产品质量监督抽查实施细则》，判定为</w:t>
      </w:r>
      <w:r>
        <w:rPr>
          <w:rFonts w:hint="eastAsia" w:ascii="宋体" w:hAnsi="宋体" w:cs="宋体"/>
          <w:lang w:eastAsia="zh-CN"/>
        </w:rPr>
        <w:t>被抽查产品</w:t>
      </w:r>
      <w:r>
        <w:rPr>
          <w:rFonts w:hint="eastAsia" w:ascii="宋体" w:hAnsi="宋体" w:cs="宋体"/>
          <w:kern w:val="0"/>
          <w:szCs w:val="21"/>
          <w:lang w:eastAsia="zh-CN"/>
        </w:rPr>
        <w:t>不</w:t>
      </w:r>
      <w:r>
        <w:rPr>
          <w:rFonts w:hint="eastAsia" w:ascii="宋体" w:hAnsi="宋体" w:cs="宋体"/>
          <w:kern w:val="0"/>
          <w:szCs w:val="21"/>
        </w:rPr>
        <w:t>合格。</w:t>
      </w:r>
    </w:p>
    <w:p w14:paraId="4ABF480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kern w:val="0"/>
          <w:szCs w:val="21"/>
          <w:lang w:val="en-US" w:eastAsia="zh-CN"/>
        </w:rPr>
      </w:pPr>
    </w:p>
    <w:p w14:paraId="048B6922">
      <w:pPr>
        <w:adjustRightInd w:val="0"/>
        <w:snapToGrid w:val="0"/>
        <w:spacing w:line="360" w:lineRule="auto"/>
        <w:ind w:firstLine="422" w:firstLineChars="200"/>
        <w:rPr>
          <w:rFonts w:ascii="黑体" w:hAnsi="黑体" w:eastAsia="黑体"/>
          <w:b/>
          <w:color w:val="auto"/>
          <w:szCs w:val="21"/>
        </w:rPr>
      </w:pPr>
      <w:r>
        <w:rPr>
          <w:rFonts w:hint="eastAsia" w:ascii="黑体" w:hAnsi="黑体" w:eastAsia="黑体"/>
          <w:b/>
          <w:color w:val="auto"/>
          <w:szCs w:val="21"/>
        </w:rPr>
        <w:t>七、工作分工</w:t>
      </w:r>
    </w:p>
    <w:p w14:paraId="129CB18C">
      <w:pPr>
        <w:pStyle w:val="20"/>
        <w:spacing w:line="360" w:lineRule="auto"/>
        <w:ind w:left="0" w:leftChars="0" w:firstLine="420" w:firstLineChars="200"/>
        <w:rPr>
          <w:rFonts w:hint="eastAsia" w:ascii="宋体" w:hAnsi="宋体" w:eastAsia="宋体" w:cs="Times New Roman"/>
          <w:color w:val="auto"/>
          <w:sz w:val="21"/>
          <w:szCs w:val="21"/>
        </w:rPr>
      </w:pPr>
      <w:r>
        <w:rPr>
          <w:rFonts w:hint="eastAsia" w:ascii="宋体" w:hAnsi="宋体" w:eastAsia="宋体" w:cs="Times New Roman"/>
          <w:color w:val="auto"/>
          <w:sz w:val="21"/>
          <w:szCs w:val="21"/>
        </w:rPr>
        <w:t>按照</w:t>
      </w:r>
      <w:r>
        <w:rPr>
          <w:rFonts w:hint="eastAsia" w:ascii="宋体" w:hAnsi="宋体" w:eastAsia="宋体" w:cs="Times New Roman"/>
          <w:color w:val="auto"/>
          <w:sz w:val="21"/>
          <w:szCs w:val="21"/>
          <w:lang w:eastAsia="zh-CN"/>
        </w:rPr>
        <w:t>新疆昌吉国家农业高新技术产业示范区</w:t>
      </w:r>
      <w:r>
        <w:rPr>
          <w:rFonts w:hint="eastAsia" w:ascii="宋体" w:hAnsi="宋体" w:eastAsia="宋体" w:cs="Times New Roman"/>
          <w:color w:val="auto"/>
          <w:sz w:val="21"/>
          <w:szCs w:val="21"/>
        </w:rPr>
        <w:t>市场监督管理局文件实施抽样检验工作，抽查任务由</w:t>
      </w:r>
      <w:r>
        <w:rPr>
          <w:rFonts w:hint="eastAsia" w:ascii="宋体" w:hAnsi="宋体" w:eastAsia="宋体" w:cs="Times New Roman"/>
          <w:color w:val="auto"/>
          <w:sz w:val="21"/>
          <w:szCs w:val="21"/>
          <w:lang w:eastAsia="zh-CN"/>
        </w:rPr>
        <w:t>招商新疆质量检测技术研究院有限公司</w:t>
      </w:r>
      <w:r>
        <w:rPr>
          <w:rFonts w:hint="eastAsia" w:ascii="宋体" w:hAnsi="宋体" w:eastAsia="宋体" w:cs="Times New Roman"/>
          <w:color w:val="auto"/>
          <w:sz w:val="21"/>
          <w:szCs w:val="21"/>
        </w:rPr>
        <w:t>承担，采取抽检分离方式，抽样人员不得参与检验工作。抽样检验计划见表3。</w:t>
      </w:r>
    </w:p>
    <w:p w14:paraId="398EBDE8">
      <w:pPr>
        <w:widowControl/>
        <w:jc w:val="center"/>
        <w:rPr>
          <w:rFonts w:ascii="宋体"/>
          <w:color w:val="auto"/>
          <w:sz w:val="18"/>
          <w:szCs w:val="18"/>
        </w:rPr>
      </w:pPr>
      <w:r>
        <w:rPr>
          <w:rFonts w:hint="eastAsia" w:ascii="宋体" w:hAnsi="宋体"/>
          <w:color w:val="auto"/>
          <w:sz w:val="18"/>
          <w:szCs w:val="18"/>
        </w:rPr>
        <w:t>表3  抽样检验计划表</w:t>
      </w:r>
    </w:p>
    <w:tbl>
      <w:tblPr>
        <w:tblStyle w:val="24"/>
        <w:tblW w:w="0" w:type="auto"/>
        <w:jc w:val="center"/>
        <w:tblLayout w:type="fixed"/>
        <w:tblCellMar>
          <w:top w:w="0" w:type="dxa"/>
          <w:left w:w="108" w:type="dxa"/>
          <w:bottom w:w="0" w:type="dxa"/>
          <w:right w:w="108" w:type="dxa"/>
        </w:tblCellMar>
      </w:tblPr>
      <w:tblGrid>
        <w:gridCol w:w="1429"/>
        <w:gridCol w:w="3937"/>
        <w:gridCol w:w="1634"/>
        <w:gridCol w:w="1809"/>
      </w:tblGrid>
      <w:tr w14:paraId="13D7925A">
        <w:tblPrEx>
          <w:tblCellMar>
            <w:top w:w="0" w:type="dxa"/>
            <w:left w:w="108" w:type="dxa"/>
            <w:bottom w:w="0" w:type="dxa"/>
            <w:right w:w="108" w:type="dxa"/>
          </w:tblCellMar>
        </w:tblPrEx>
        <w:trPr>
          <w:trHeight w:val="567" w:hRule="atLeast"/>
          <w:jc w:val="center"/>
        </w:trPr>
        <w:tc>
          <w:tcPr>
            <w:tcW w:w="142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07981B37">
            <w:pPr>
              <w:widowControl/>
              <w:jc w:val="center"/>
              <w:textAlignment w:val="center"/>
              <w:rPr>
                <w:rFonts w:ascii="宋体" w:hAnsi="宋体" w:cs="仿宋"/>
                <w:color w:val="auto"/>
                <w:sz w:val="18"/>
                <w:szCs w:val="18"/>
              </w:rPr>
            </w:pPr>
            <w:r>
              <w:rPr>
                <w:rFonts w:hint="eastAsia" w:ascii="宋体" w:hAnsi="宋体" w:cs="Sim Sun"/>
                <w:color w:val="auto"/>
                <w:kern w:val="0"/>
                <w:sz w:val="18"/>
                <w:szCs w:val="18"/>
              </w:rPr>
              <w:t>产品名称</w:t>
            </w:r>
          </w:p>
        </w:tc>
        <w:tc>
          <w:tcPr>
            <w:tcW w:w="3937"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3E88C839">
            <w:pPr>
              <w:widowControl/>
              <w:jc w:val="center"/>
              <w:textAlignment w:val="center"/>
              <w:rPr>
                <w:rFonts w:hint="eastAsia" w:ascii="宋体" w:hAnsi="宋体" w:cs="Sim Sun"/>
                <w:color w:val="auto"/>
                <w:kern w:val="0"/>
                <w:sz w:val="18"/>
                <w:szCs w:val="18"/>
              </w:rPr>
            </w:pPr>
            <w:r>
              <w:rPr>
                <w:rFonts w:hint="eastAsia" w:ascii="宋体" w:hAnsi="宋体" w:cs="Sim Sun"/>
                <w:color w:val="auto"/>
                <w:kern w:val="0"/>
                <w:sz w:val="18"/>
                <w:szCs w:val="18"/>
              </w:rPr>
              <w:t>生产领域拟抽查批次数（批）</w:t>
            </w:r>
          </w:p>
          <w:p w14:paraId="06242C7A">
            <w:pPr>
              <w:widowControl/>
              <w:jc w:val="center"/>
              <w:textAlignment w:val="center"/>
              <w:rPr>
                <w:rFonts w:hint="eastAsia" w:ascii="宋体" w:hAnsi="宋体" w:eastAsia="宋体" w:cs="仿宋"/>
                <w:color w:val="auto"/>
                <w:sz w:val="18"/>
                <w:szCs w:val="18"/>
                <w:lang w:val="en-US" w:eastAsia="zh-CN"/>
              </w:rPr>
            </w:pPr>
            <w:r>
              <w:rPr>
                <w:rFonts w:hint="eastAsia" w:ascii="宋体" w:hAnsi="宋体" w:cs="Sim Sun"/>
                <w:color w:val="auto"/>
                <w:kern w:val="0"/>
                <w:sz w:val="18"/>
                <w:szCs w:val="18"/>
                <w:lang w:val="en-US" w:eastAsia="zh-CN"/>
              </w:rPr>
              <w:t>+</w:t>
            </w:r>
          </w:p>
          <w:p w14:paraId="720871AF">
            <w:pPr>
              <w:widowControl/>
              <w:jc w:val="center"/>
              <w:textAlignment w:val="center"/>
              <w:rPr>
                <w:rFonts w:ascii="宋体" w:hAnsi="宋体" w:cs="Sim Sun"/>
                <w:color w:val="auto"/>
                <w:kern w:val="0"/>
                <w:sz w:val="18"/>
                <w:szCs w:val="18"/>
              </w:rPr>
            </w:pPr>
            <w:r>
              <w:rPr>
                <w:rFonts w:hint="eastAsia" w:ascii="宋体" w:hAnsi="宋体" w:cs="Sim Sun"/>
                <w:color w:val="auto"/>
                <w:kern w:val="0"/>
                <w:sz w:val="18"/>
                <w:szCs w:val="18"/>
              </w:rPr>
              <w:t>流通领域拟抽查批次数（批）</w:t>
            </w:r>
          </w:p>
        </w:tc>
        <w:tc>
          <w:tcPr>
            <w:tcW w:w="163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559B5A48">
            <w:pPr>
              <w:jc w:val="center"/>
              <w:rPr>
                <w:rFonts w:ascii="宋体" w:hAnsi="宋体"/>
                <w:color w:val="auto"/>
                <w:sz w:val="18"/>
                <w:szCs w:val="18"/>
              </w:rPr>
            </w:pPr>
            <w:r>
              <w:rPr>
                <w:rFonts w:hint="eastAsia" w:ascii="宋体" w:hAnsi="宋体"/>
                <w:color w:val="auto"/>
                <w:sz w:val="18"/>
                <w:szCs w:val="18"/>
              </w:rPr>
              <w:t>产品检验周期</w:t>
            </w:r>
          </w:p>
          <w:p w14:paraId="3E07695E">
            <w:pPr>
              <w:jc w:val="center"/>
              <w:rPr>
                <w:rFonts w:ascii="宋体" w:hAnsi="宋体"/>
                <w:color w:val="auto"/>
                <w:sz w:val="18"/>
                <w:szCs w:val="18"/>
              </w:rPr>
            </w:pPr>
            <w:r>
              <w:rPr>
                <w:rFonts w:hint="eastAsia" w:ascii="宋体" w:hAnsi="宋体"/>
                <w:color w:val="auto"/>
                <w:sz w:val="18"/>
                <w:szCs w:val="18"/>
              </w:rPr>
              <w:t>（日</w:t>
            </w:r>
            <w:r>
              <w:rPr>
                <w:rFonts w:ascii="宋体" w:hAnsi="宋体"/>
                <w:color w:val="auto"/>
                <w:sz w:val="18"/>
                <w:szCs w:val="18"/>
              </w:rPr>
              <w:t>/</w:t>
            </w:r>
            <w:r>
              <w:rPr>
                <w:rFonts w:hint="eastAsia" w:ascii="宋体" w:hAnsi="宋体"/>
                <w:color w:val="auto"/>
                <w:sz w:val="18"/>
                <w:szCs w:val="18"/>
              </w:rPr>
              <w:t>批次）</w:t>
            </w:r>
          </w:p>
        </w:tc>
        <w:tc>
          <w:tcPr>
            <w:tcW w:w="180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989E545">
            <w:pPr>
              <w:widowControl/>
              <w:jc w:val="center"/>
              <w:textAlignment w:val="center"/>
              <w:rPr>
                <w:rFonts w:hint="eastAsia" w:ascii="宋体" w:hAnsi="宋体" w:cs="Sim Sun"/>
                <w:color w:val="auto"/>
                <w:kern w:val="0"/>
                <w:sz w:val="18"/>
                <w:szCs w:val="18"/>
              </w:rPr>
            </w:pPr>
            <w:r>
              <w:rPr>
                <w:rFonts w:hint="eastAsia" w:ascii="宋体" w:hAnsi="宋体" w:cs="Sim Sun"/>
                <w:color w:val="auto"/>
                <w:kern w:val="0"/>
                <w:sz w:val="18"/>
                <w:szCs w:val="18"/>
              </w:rPr>
              <w:t>整体抽检工作</w:t>
            </w:r>
          </w:p>
          <w:p w14:paraId="3EC1257F">
            <w:pPr>
              <w:widowControl/>
              <w:jc w:val="center"/>
              <w:textAlignment w:val="center"/>
              <w:rPr>
                <w:rFonts w:ascii="宋体" w:hAnsi="宋体" w:cs="仿宋"/>
                <w:color w:val="auto"/>
                <w:sz w:val="18"/>
                <w:szCs w:val="18"/>
              </w:rPr>
            </w:pPr>
            <w:r>
              <w:rPr>
                <w:rFonts w:hint="eastAsia" w:ascii="宋体" w:hAnsi="宋体" w:cs="Sim Sun"/>
                <w:color w:val="auto"/>
                <w:kern w:val="0"/>
                <w:sz w:val="18"/>
                <w:szCs w:val="18"/>
              </w:rPr>
              <w:t>完成周期</w:t>
            </w:r>
            <w:r>
              <w:rPr>
                <w:rFonts w:ascii="宋体" w:hAnsi="宋体" w:cs="Sim Sun"/>
                <w:color w:val="auto"/>
                <w:kern w:val="0"/>
                <w:sz w:val="18"/>
                <w:szCs w:val="18"/>
              </w:rPr>
              <w:t>(</w:t>
            </w:r>
            <w:r>
              <w:rPr>
                <w:rFonts w:hint="eastAsia" w:ascii="宋体" w:hAnsi="宋体" w:cs="Sim Sun"/>
                <w:color w:val="auto"/>
                <w:kern w:val="0"/>
                <w:sz w:val="18"/>
                <w:szCs w:val="18"/>
              </w:rPr>
              <w:t>日</w:t>
            </w:r>
            <w:r>
              <w:rPr>
                <w:rFonts w:ascii="宋体" w:hAnsi="宋体" w:cs="Sim Sun"/>
                <w:color w:val="auto"/>
                <w:kern w:val="0"/>
                <w:sz w:val="18"/>
                <w:szCs w:val="18"/>
              </w:rPr>
              <w:t>)</w:t>
            </w:r>
          </w:p>
        </w:tc>
      </w:tr>
      <w:tr w14:paraId="11A06BBE">
        <w:tblPrEx>
          <w:tblCellMar>
            <w:top w:w="0" w:type="dxa"/>
            <w:left w:w="108" w:type="dxa"/>
            <w:bottom w:w="0" w:type="dxa"/>
            <w:right w:w="108" w:type="dxa"/>
          </w:tblCellMar>
        </w:tblPrEx>
        <w:trPr>
          <w:trHeight w:val="567" w:hRule="atLeast"/>
          <w:jc w:val="center"/>
        </w:trPr>
        <w:tc>
          <w:tcPr>
            <w:tcW w:w="142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33CE7E3D">
            <w:pPr>
              <w:widowControl/>
              <w:jc w:val="center"/>
              <w:rPr>
                <w:rFonts w:hint="eastAsia" w:ascii="宋体" w:hAnsi="宋体" w:eastAsia="宋体" w:cs="仿宋"/>
                <w:color w:val="auto"/>
                <w:sz w:val="18"/>
                <w:szCs w:val="18"/>
                <w:lang w:eastAsia="zh-CN"/>
              </w:rPr>
            </w:pPr>
            <w:r>
              <w:rPr>
                <w:rFonts w:hint="eastAsia" w:ascii="宋体" w:hAnsi="宋体" w:eastAsia="宋体" w:cs="Sim Sun"/>
                <w:color w:val="auto"/>
                <w:kern w:val="0"/>
                <w:sz w:val="18"/>
                <w:szCs w:val="18"/>
              </w:rPr>
              <w:t>合成树脂乳液</w:t>
            </w:r>
            <w:r>
              <w:rPr>
                <w:rFonts w:hint="eastAsia" w:ascii="宋体" w:hAnsi="宋体" w:eastAsia="宋体" w:cs="Sim Sun"/>
                <w:color w:val="auto"/>
                <w:kern w:val="0"/>
                <w:sz w:val="18"/>
                <w:szCs w:val="18"/>
                <w:lang w:eastAsia="zh-CN"/>
              </w:rPr>
              <w:t>内墙涂料</w:t>
            </w:r>
          </w:p>
        </w:tc>
        <w:tc>
          <w:tcPr>
            <w:tcW w:w="3937"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072601B9">
            <w:pPr>
              <w:widowControl/>
              <w:jc w:val="center"/>
              <w:rPr>
                <w:rFonts w:hint="eastAsia" w:ascii="宋体" w:hAnsi="宋体" w:eastAsia="宋体" w:cs="仿宋"/>
                <w:color w:val="auto"/>
                <w:sz w:val="18"/>
                <w:szCs w:val="18"/>
                <w:lang w:val="en-US" w:eastAsia="zh-CN"/>
              </w:rPr>
            </w:pPr>
            <w:r>
              <w:rPr>
                <w:rFonts w:hint="eastAsia" w:ascii="宋体" w:hAnsi="宋体" w:eastAsia="宋体" w:cs="仿宋"/>
                <w:color w:val="auto"/>
                <w:sz w:val="18"/>
                <w:szCs w:val="18"/>
                <w:lang w:val="en-US" w:eastAsia="zh-CN"/>
              </w:rPr>
              <w:t>1</w:t>
            </w:r>
          </w:p>
        </w:tc>
        <w:tc>
          <w:tcPr>
            <w:tcW w:w="163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EE3749F">
            <w:pPr>
              <w:widowControl/>
              <w:jc w:val="center"/>
              <w:textAlignment w:val="center"/>
              <w:rPr>
                <w:rFonts w:hint="default" w:ascii="宋体" w:hAnsi="宋体" w:eastAsia="宋体" w:cs="仿宋"/>
                <w:color w:val="auto"/>
                <w:sz w:val="18"/>
                <w:szCs w:val="18"/>
                <w:lang w:val="en-US" w:eastAsia="zh-CN"/>
              </w:rPr>
            </w:pPr>
            <w:r>
              <w:rPr>
                <w:rFonts w:hint="eastAsia" w:ascii="宋体" w:hAnsi="宋体" w:cs="仿宋"/>
                <w:color w:val="auto"/>
                <w:sz w:val="18"/>
                <w:szCs w:val="18"/>
                <w:lang w:val="en-US" w:eastAsia="zh-CN"/>
              </w:rPr>
              <w:t>35</w:t>
            </w:r>
          </w:p>
        </w:tc>
        <w:tc>
          <w:tcPr>
            <w:tcW w:w="180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292EE999">
            <w:pPr>
              <w:widowControl/>
              <w:jc w:val="center"/>
              <w:textAlignment w:val="center"/>
              <w:rPr>
                <w:rFonts w:ascii="宋体" w:hAnsi="宋体" w:cs="仿宋"/>
                <w:color w:val="auto"/>
                <w:sz w:val="18"/>
                <w:szCs w:val="18"/>
              </w:rPr>
            </w:pPr>
            <w:r>
              <w:rPr>
                <w:rFonts w:ascii="宋体" w:hAnsi="宋体" w:cs="仿宋"/>
                <w:color w:val="auto"/>
                <w:sz w:val="18"/>
                <w:szCs w:val="18"/>
              </w:rPr>
              <w:t>60</w:t>
            </w:r>
          </w:p>
        </w:tc>
      </w:tr>
    </w:tbl>
    <w:p w14:paraId="3C6B50B0">
      <w:pPr>
        <w:spacing w:line="360" w:lineRule="auto"/>
        <w:ind w:firstLine="422" w:firstLineChars="200"/>
        <w:rPr>
          <w:rFonts w:hint="eastAsia" w:ascii="黑体" w:hAnsi="黑体" w:eastAsia="黑体"/>
          <w:b/>
          <w:color w:val="auto"/>
        </w:rPr>
      </w:pPr>
    </w:p>
    <w:p w14:paraId="77398125">
      <w:pPr>
        <w:spacing w:line="360" w:lineRule="auto"/>
        <w:ind w:firstLine="422" w:firstLineChars="200"/>
        <w:rPr>
          <w:rFonts w:ascii="黑体" w:hAnsi="黑体" w:eastAsia="黑体"/>
          <w:b/>
          <w:color w:val="auto"/>
        </w:rPr>
      </w:pPr>
      <w:r>
        <w:rPr>
          <w:rFonts w:hint="eastAsia" w:ascii="黑体" w:hAnsi="黑体" w:eastAsia="黑体"/>
          <w:b/>
          <w:color w:val="auto"/>
        </w:rPr>
        <w:t>八、进度要求</w:t>
      </w:r>
    </w:p>
    <w:p w14:paraId="3F59BD7B">
      <w:pPr>
        <w:adjustRightInd w:val="0"/>
        <w:snapToGrid w:val="0"/>
        <w:spacing w:line="360" w:lineRule="auto"/>
        <w:ind w:firstLine="420" w:firstLineChars="200"/>
        <w:rPr>
          <w:rFonts w:ascii="宋体" w:hAnsi="宋体" w:cs="方正仿宋简体"/>
          <w:color w:val="auto"/>
          <w:szCs w:val="21"/>
        </w:rPr>
      </w:pPr>
      <w:r>
        <w:rPr>
          <w:rFonts w:hint="eastAsia" w:ascii="宋体" w:hAnsi="宋体" w:cs="方正仿宋简体"/>
          <w:color w:val="auto"/>
          <w:szCs w:val="21"/>
        </w:rPr>
        <w:t>根据</w:t>
      </w:r>
      <w:r>
        <w:rPr>
          <w:rFonts w:hint="eastAsia" w:ascii="宋体" w:hAnsi="宋体" w:cs="Times New Roman"/>
          <w:color w:val="auto"/>
          <w:sz w:val="21"/>
          <w:szCs w:val="21"/>
          <w:lang w:eastAsia="zh-CN"/>
        </w:rPr>
        <w:t>新疆昌吉国家农业高新技术产业示范区</w:t>
      </w:r>
      <w:r>
        <w:rPr>
          <w:rFonts w:hint="eastAsia" w:ascii="宋体" w:hAnsi="宋体" w:eastAsia="宋体" w:cs="Times New Roman"/>
          <w:color w:val="auto"/>
          <w:sz w:val="21"/>
          <w:szCs w:val="21"/>
        </w:rPr>
        <w:t>市场监督管理局</w:t>
      </w:r>
      <w:r>
        <w:rPr>
          <w:rFonts w:hint="eastAsia" w:ascii="宋体" w:hAnsi="宋体" w:cs="方正仿宋简体"/>
          <w:color w:val="auto"/>
          <w:szCs w:val="21"/>
        </w:rPr>
        <w:t>文件要求，明确各阶段工作的时间节点见表4。</w:t>
      </w:r>
    </w:p>
    <w:p w14:paraId="53AAB751">
      <w:pPr>
        <w:adjustRightInd w:val="0"/>
        <w:snapToGrid w:val="0"/>
        <w:spacing w:line="360" w:lineRule="auto"/>
        <w:ind w:firstLine="420"/>
        <w:jc w:val="center"/>
        <w:rPr>
          <w:rFonts w:hint="eastAsia" w:ascii="宋体" w:hAnsi="宋体"/>
          <w:color w:val="auto"/>
          <w:sz w:val="18"/>
          <w:szCs w:val="18"/>
        </w:rPr>
      </w:pPr>
      <w:r>
        <w:rPr>
          <w:rFonts w:hint="eastAsia" w:ascii="宋体" w:hAnsi="宋体"/>
          <w:color w:val="auto"/>
          <w:sz w:val="18"/>
          <w:szCs w:val="18"/>
        </w:rPr>
        <w:t>表4  抽样检验工作进度要求</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2"/>
        <w:gridCol w:w="4349"/>
      </w:tblGrid>
      <w:tr w14:paraId="19234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2B74E21E">
            <w:pPr>
              <w:jc w:val="center"/>
              <w:rPr>
                <w:rFonts w:hint="eastAsia" w:ascii="宋体" w:hAnsi="宋体"/>
                <w:color w:val="auto"/>
                <w:sz w:val="18"/>
                <w:szCs w:val="18"/>
              </w:rPr>
            </w:pPr>
            <w:r>
              <w:rPr>
                <w:rFonts w:hint="eastAsia" w:ascii="宋体" w:hAnsi="宋体"/>
                <w:color w:val="auto"/>
                <w:sz w:val="18"/>
                <w:szCs w:val="18"/>
              </w:rPr>
              <w:t>时间安排</w:t>
            </w:r>
          </w:p>
        </w:tc>
        <w:tc>
          <w:tcPr>
            <w:tcW w:w="4349" w:type="dxa"/>
            <w:noWrap w:val="0"/>
            <w:vAlign w:val="center"/>
          </w:tcPr>
          <w:p w14:paraId="4FD439C2">
            <w:pPr>
              <w:jc w:val="center"/>
              <w:rPr>
                <w:rFonts w:hint="eastAsia" w:ascii="宋体" w:hAnsi="宋体"/>
                <w:color w:val="auto"/>
                <w:sz w:val="18"/>
                <w:szCs w:val="18"/>
              </w:rPr>
            </w:pPr>
            <w:r>
              <w:rPr>
                <w:rFonts w:hint="eastAsia" w:ascii="宋体" w:hAnsi="宋体"/>
                <w:color w:val="auto"/>
                <w:sz w:val="18"/>
                <w:szCs w:val="18"/>
              </w:rPr>
              <w:t>工作安排</w:t>
            </w:r>
          </w:p>
        </w:tc>
      </w:tr>
      <w:tr w14:paraId="463D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58627213">
            <w:pPr>
              <w:jc w:val="center"/>
              <w:rPr>
                <w:rFonts w:hint="eastAsia" w:ascii="宋体" w:hAnsi="宋体"/>
                <w:color w:val="auto"/>
                <w:sz w:val="18"/>
                <w:szCs w:val="18"/>
              </w:rPr>
            </w:pPr>
            <w:r>
              <w:rPr>
                <w:rFonts w:hint="eastAsia" w:ascii="宋体" w:hAnsi="宋体"/>
                <w:color w:val="auto"/>
                <w:sz w:val="18"/>
                <w:szCs w:val="18"/>
              </w:rPr>
              <w:t>任务部署后5日内</w:t>
            </w:r>
          </w:p>
        </w:tc>
        <w:tc>
          <w:tcPr>
            <w:tcW w:w="4349" w:type="dxa"/>
            <w:noWrap w:val="0"/>
            <w:vAlign w:val="center"/>
          </w:tcPr>
          <w:p w14:paraId="2464CB73">
            <w:pPr>
              <w:jc w:val="center"/>
              <w:rPr>
                <w:rFonts w:hint="eastAsia" w:ascii="宋体" w:hAnsi="宋体"/>
                <w:color w:val="auto"/>
                <w:sz w:val="18"/>
                <w:szCs w:val="18"/>
              </w:rPr>
            </w:pPr>
            <w:r>
              <w:rPr>
                <w:rFonts w:hint="eastAsia" w:ascii="宋体" w:hAnsi="宋体"/>
                <w:color w:val="auto"/>
                <w:sz w:val="18"/>
                <w:szCs w:val="18"/>
              </w:rPr>
              <w:t>抽样前准备工作</w:t>
            </w:r>
          </w:p>
        </w:tc>
      </w:tr>
      <w:tr w14:paraId="7DC5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0E11332B">
            <w:pPr>
              <w:jc w:val="center"/>
              <w:rPr>
                <w:rFonts w:hint="eastAsia" w:ascii="宋体" w:hAnsi="宋体"/>
                <w:color w:val="auto"/>
                <w:sz w:val="18"/>
                <w:szCs w:val="18"/>
              </w:rPr>
            </w:pPr>
            <w:r>
              <w:rPr>
                <w:rFonts w:hint="eastAsia" w:ascii="宋体" w:hAnsi="宋体"/>
                <w:color w:val="auto"/>
                <w:sz w:val="18"/>
                <w:szCs w:val="18"/>
              </w:rPr>
              <w:t>以任务部署文件为准</w:t>
            </w:r>
          </w:p>
        </w:tc>
        <w:tc>
          <w:tcPr>
            <w:tcW w:w="4349" w:type="dxa"/>
            <w:noWrap w:val="0"/>
            <w:vAlign w:val="center"/>
          </w:tcPr>
          <w:p w14:paraId="5B0768BC">
            <w:pPr>
              <w:jc w:val="center"/>
              <w:rPr>
                <w:rFonts w:hint="eastAsia" w:ascii="宋体" w:hAnsi="宋体"/>
                <w:color w:val="auto"/>
                <w:sz w:val="18"/>
                <w:szCs w:val="18"/>
              </w:rPr>
            </w:pPr>
            <w:r>
              <w:rPr>
                <w:rFonts w:hint="eastAsia" w:ascii="宋体" w:hAnsi="宋体"/>
                <w:color w:val="auto"/>
                <w:sz w:val="18"/>
                <w:szCs w:val="18"/>
              </w:rPr>
              <w:t>实施抽样</w:t>
            </w:r>
          </w:p>
        </w:tc>
      </w:tr>
      <w:tr w14:paraId="6CD60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7F572059">
            <w:pPr>
              <w:jc w:val="center"/>
              <w:rPr>
                <w:rFonts w:hint="eastAsia" w:ascii="宋体" w:hAnsi="宋体"/>
                <w:color w:val="auto"/>
                <w:sz w:val="18"/>
                <w:szCs w:val="18"/>
              </w:rPr>
            </w:pPr>
            <w:r>
              <w:rPr>
                <w:rFonts w:hint="eastAsia" w:ascii="宋体" w:hAnsi="宋体"/>
                <w:color w:val="auto"/>
                <w:sz w:val="18"/>
                <w:szCs w:val="18"/>
              </w:rPr>
              <w:t>整体抽样工作结束后的1个检验完成周期内</w:t>
            </w:r>
          </w:p>
        </w:tc>
        <w:tc>
          <w:tcPr>
            <w:tcW w:w="4349" w:type="dxa"/>
            <w:noWrap w:val="0"/>
            <w:vAlign w:val="center"/>
          </w:tcPr>
          <w:p w14:paraId="629C708F">
            <w:pPr>
              <w:jc w:val="center"/>
              <w:rPr>
                <w:rFonts w:hint="eastAsia" w:ascii="宋体" w:hAnsi="宋体"/>
                <w:color w:val="auto"/>
                <w:sz w:val="18"/>
                <w:szCs w:val="18"/>
              </w:rPr>
            </w:pPr>
            <w:r>
              <w:rPr>
                <w:rFonts w:hint="eastAsia" w:ascii="宋体" w:hAnsi="宋体"/>
                <w:color w:val="auto"/>
                <w:sz w:val="18"/>
                <w:szCs w:val="18"/>
              </w:rPr>
              <w:t>实施检验</w:t>
            </w:r>
          </w:p>
        </w:tc>
      </w:tr>
      <w:tr w14:paraId="424B8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12AF94AA">
            <w:pPr>
              <w:jc w:val="center"/>
              <w:rPr>
                <w:rFonts w:hint="eastAsia" w:ascii="宋体" w:hAnsi="宋体"/>
                <w:color w:val="auto"/>
                <w:sz w:val="18"/>
                <w:szCs w:val="18"/>
              </w:rPr>
            </w:pPr>
            <w:r>
              <w:rPr>
                <w:rFonts w:hint="eastAsia" w:ascii="宋体" w:hAnsi="宋体"/>
                <w:color w:val="auto"/>
                <w:sz w:val="18"/>
                <w:szCs w:val="18"/>
              </w:rPr>
              <w:t>检验工作完成</w:t>
            </w:r>
            <w:r>
              <w:rPr>
                <w:rFonts w:hint="eastAsia" w:ascii="宋体" w:hAnsi="宋体"/>
                <w:color w:val="auto"/>
                <w:sz w:val="18"/>
                <w:szCs w:val="18"/>
                <w:lang w:val="en-US" w:eastAsia="zh-CN"/>
              </w:rPr>
              <w:t>10</w:t>
            </w:r>
            <w:r>
              <w:rPr>
                <w:rFonts w:hint="eastAsia" w:ascii="宋体" w:hAnsi="宋体"/>
                <w:color w:val="auto"/>
                <w:sz w:val="18"/>
                <w:szCs w:val="18"/>
              </w:rPr>
              <w:t>日内</w:t>
            </w:r>
          </w:p>
        </w:tc>
        <w:tc>
          <w:tcPr>
            <w:tcW w:w="4349" w:type="dxa"/>
            <w:noWrap w:val="0"/>
            <w:vAlign w:val="center"/>
          </w:tcPr>
          <w:p w14:paraId="5294FB78">
            <w:pPr>
              <w:jc w:val="center"/>
              <w:rPr>
                <w:rFonts w:hint="eastAsia" w:ascii="宋体" w:hAnsi="宋体"/>
                <w:color w:val="auto"/>
                <w:sz w:val="18"/>
                <w:szCs w:val="18"/>
              </w:rPr>
            </w:pPr>
            <w:r>
              <w:rPr>
                <w:rFonts w:hint="eastAsia" w:ascii="宋体" w:hAnsi="宋体"/>
                <w:color w:val="auto"/>
                <w:sz w:val="18"/>
                <w:szCs w:val="18"/>
              </w:rPr>
              <w:t>检验报告及结果通知发放</w:t>
            </w:r>
          </w:p>
        </w:tc>
      </w:tr>
      <w:tr w14:paraId="58F2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66C751EA">
            <w:pPr>
              <w:jc w:val="center"/>
              <w:rPr>
                <w:rFonts w:hint="eastAsia" w:ascii="宋体" w:hAnsi="宋体"/>
                <w:color w:val="auto"/>
                <w:sz w:val="18"/>
                <w:szCs w:val="18"/>
              </w:rPr>
            </w:pPr>
            <w:r>
              <w:rPr>
                <w:rFonts w:hint="eastAsia" w:ascii="宋体" w:hAnsi="宋体"/>
                <w:color w:val="auto"/>
                <w:sz w:val="18"/>
                <w:szCs w:val="18"/>
              </w:rPr>
              <w:t>汇总上报（具体时间以通知文件为准）</w:t>
            </w:r>
          </w:p>
        </w:tc>
        <w:tc>
          <w:tcPr>
            <w:tcW w:w="4349" w:type="dxa"/>
            <w:noWrap w:val="0"/>
            <w:vAlign w:val="center"/>
          </w:tcPr>
          <w:p w14:paraId="54388D26">
            <w:pPr>
              <w:jc w:val="center"/>
              <w:rPr>
                <w:rFonts w:hint="eastAsia" w:ascii="宋体" w:hAnsi="宋体"/>
                <w:color w:val="auto"/>
                <w:sz w:val="18"/>
                <w:szCs w:val="18"/>
              </w:rPr>
            </w:pPr>
            <w:r>
              <w:rPr>
                <w:rFonts w:hint="eastAsia" w:ascii="宋体" w:hAnsi="宋体"/>
                <w:color w:val="auto"/>
                <w:sz w:val="18"/>
                <w:szCs w:val="18"/>
              </w:rPr>
              <w:t>结果材料汇总和总结上报</w:t>
            </w:r>
          </w:p>
        </w:tc>
      </w:tr>
    </w:tbl>
    <w:p w14:paraId="63BD07D5">
      <w:pPr>
        <w:spacing w:line="360" w:lineRule="auto"/>
        <w:ind w:firstLine="422" w:firstLineChars="200"/>
        <w:rPr>
          <w:rFonts w:hint="eastAsia" w:ascii="黑体" w:hAnsi="黑体" w:eastAsia="黑体"/>
          <w:b/>
          <w:color w:val="auto"/>
        </w:rPr>
      </w:pPr>
    </w:p>
    <w:p w14:paraId="3FAB92BD">
      <w:pPr>
        <w:spacing w:line="360" w:lineRule="auto"/>
        <w:ind w:firstLine="422" w:firstLineChars="200"/>
        <w:rPr>
          <w:rFonts w:ascii="黑体" w:hAnsi="黑体" w:eastAsia="黑体"/>
          <w:b/>
          <w:color w:val="auto"/>
        </w:rPr>
      </w:pPr>
      <w:r>
        <w:rPr>
          <w:rFonts w:hint="eastAsia" w:ascii="黑体" w:hAnsi="黑体" w:eastAsia="黑体"/>
          <w:b/>
          <w:color w:val="auto"/>
        </w:rPr>
        <w:t>九、其他注意事项</w:t>
      </w:r>
    </w:p>
    <w:p w14:paraId="04946999">
      <w:pPr>
        <w:spacing w:line="360" w:lineRule="auto"/>
        <w:ind w:firstLine="420" w:firstLineChars="200"/>
        <w:rPr>
          <w:rFonts w:ascii="宋体" w:hAnsi="宋体" w:cs="方正仿宋简体"/>
          <w:color w:val="auto"/>
          <w:szCs w:val="21"/>
        </w:rPr>
      </w:pPr>
      <w:r>
        <w:rPr>
          <w:rFonts w:hint="eastAsia" w:ascii="宋体" w:hAnsi="宋体" w:cs="方正仿宋简体"/>
          <w:color w:val="auto"/>
          <w:szCs w:val="21"/>
        </w:rPr>
        <w:t>（一）产品质量监督抽查</w:t>
      </w:r>
      <w:r>
        <w:rPr>
          <w:rFonts w:ascii="宋体" w:hAnsi="宋体" w:cs="方正仿宋简体"/>
          <w:color w:val="auto"/>
          <w:szCs w:val="21"/>
        </w:rPr>
        <w:t>/</w:t>
      </w:r>
      <w:r>
        <w:rPr>
          <w:rFonts w:hint="eastAsia" w:ascii="宋体" w:hAnsi="宋体" w:cs="方正仿宋简体"/>
          <w:color w:val="auto"/>
          <w:szCs w:val="21"/>
        </w:rPr>
        <w:t>复查通知书由</w:t>
      </w:r>
      <w:r>
        <w:rPr>
          <w:rFonts w:hint="eastAsia" w:ascii="宋体" w:hAnsi="宋体"/>
          <w:color w:val="000000"/>
          <w:szCs w:val="21"/>
        </w:rPr>
        <w:t>被抽样生产者</w:t>
      </w:r>
      <w:r>
        <w:rPr>
          <w:rFonts w:hint="eastAsia" w:hAnsi="宋体"/>
          <w:color w:val="000000"/>
          <w:szCs w:val="21"/>
          <w:lang w:eastAsia="zh-CN"/>
        </w:rPr>
        <w:t>或</w:t>
      </w:r>
      <w:r>
        <w:rPr>
          <w:rFonts w:hint="eastAsia" w:ascii="宋体" w:hAnsi="宋体"/>
          <w:color w:val="000000"/>
          <w:szCs w:val="21"/>
        </w:rPr>
        <w:t>销售者</w:t>
      </w:r>
      <w:r>
        <w:rPr>
          <w:rFonts w:hint="eastAsia" w:ascii="宋体" w:hAnsi="宋体" w:cs="方正仿宋简体"/>
          <w:color w:val="auto"/>
          <w:szCs w:val="21"/>
          <w:lang w:eastAsia="zh-CN"/>
        </w:rPr>
        <w:t>负责人</w:t>
      </w:r>
      <w:r>
        <w:rPr>
          <w:rFonts w:hint="eastAsia" w:ascii="宋体" w:hAnsi="宋体" w:cs="方正仿宋简体"/>
          <w:color w:val="auto"/>
          <w:szCs w:val="21"/>
        </w:rPr>
        <w:t>签名</w:t>
      </w:r>
      <w:r>
        <w:rPr>
          <w:rFonts w:ascii="宋体" w:hAnsi="宋体" w:cs="方正仿宋简体"/>
          <w:color w:val="auto"/>
          <w:szCs w:val="21"/>
        </w:rPr>
        <w:t>,</w:t>
      </w:r>
      <w:r>
        <w:rPr>
          <w:rFonts w:hint="eastAsia" w:ascii="宋体" w:hAnsi="宋体" w:cs="方正仿宋简体"/>
          <w:color w:val="auto"/>
          <w:szCs w:val="21"/>
          <w:lang w:eastAsia="zh-CN"/>
        </w:rPr>
        <w:t>加</w:t>
      </w:r>
      <w:r>
        <w:rPr>
          <w:rFonts w:hint="eastAsia" w:ascii="宋体" w:hAnsi="宋体" w:cs="方正仿宋简体"/>
          <w:color w:val="auto"/>
          <w:szCs w:val="21"/>
        </w:rPr>
        <w:t>盖</w:t>
      </w:r>
      <w:r>
        <w:rPr>
          <w:rFonts w:hint="eastAsia" w:ascii="宋体" w:hAnsi="宋体" w:cs="方正仿宋简体"/>
          <w:color w:val="auto"/>
          <w:szCs w:val="21"/>
          <w:lang w:eastAsia="zh-CN"/>
        </w:rPr>
        <w:t>受检单位</w:t>
      </w:r>
      <w:r>
        <w:rPr>
          <w:rFonts w:hint="eastAsia" w:ascii="宋体" w:hAnsi="宋体" w:cs="方正仿宋简体"/>
          <w:color w:val="auto"/>
          <w:szCs w:val="21"/>
        </w:rPr>
        <w:t>公章（特殊情况可用质检章或合同章代替，但应同</w:t>
      </w:r>
      <w:r>
        <w:rPr>
          <w:rFonts w:hint="eastAsia" w:ascii="宋体" w:hAnsi="宋体" w:cs="方正仿宋简体"/>
          <w:color w:val="auto"/>
          <w:szCs w:val="21"/>
          <w:lang w:eastAsia="zh-CN"/>
        </w:rPr>
        <w:t>受检单位</w:t>
      </w:r>
      <w:r>
        <w:rPr>
          <w:rFonts w:hint="eastAsia" w:ascii="宋体" w:hAnsi="宋体" w:cs="方正仿宋简体"/>
          <w:color w:val="auto"/>
          <w:szCs w:val="21"/>
        </w:rPr>
        <w:t>名称一致）。</w:t>
      </w:r>
    </w:p>
    <w:p w14:paraId="58F5FD48">
      <w:pPr>
        <w:spacing w:line="360" w:lineRule="auto"/>
        <w:ind w:firstLine="420" w:firstLineChars="200"/>
        <w:rPr>
          <w:rFonts w:ascii="宋体" w:hAnsi="宋体" w:cs="方正仿宋简体"/>
          <w:color w:val="auto"/>
          <w:szCs w:val="21"/>
        </w:rPr>
      </w:pPr>
      <w:r>
        <w:rPr>
          <w:rFonts w:ascii="宋体" w:hAnsi="宋体" w:cs="方正仿宋简体"/>
          <w:color w:val="auto"/>
          <w:szCs w:val="21"/>
        </w:rPr>
        <w:t>（二）</w:t>
      </w:r>
      <w:r>
        <w:rPr>
          <w:rFonts w:hint="eastAsia" w:ascii="宋体" w:hAnsi="宋体" w:cs="方正仿宋简体"/>
          <w:color w:val="auto"/>
          <w:szCs w:val="21"/>
        </w:rPr>
        <w:t>抽样过程中抽样人员应按要求填写产品质量监督抽查通知书、样品确认通知书、企业拒检认定表（有拒检）、抽样现场记录表等。</w:t>
      </w:r>
    </w:p>
    <w:p w14:paraId="528F801B">
      <w:pPr>
        <w:spacing w:line="360" w:lineRule="auto"/>
        <w:ind w:firstLine="420" w:firstLineChars="200"/>
        <w:rPr>
          <w:rFonts w:hint="eastAsia" w:ascii="宋体" w:hAnsi="宋体"/>
          <w:color w:val="auto"/>
        </w:rPr>
      </w:pPr>
      <w:r>
        <w:rPr>
          <w:rFonts w:hint="eastAsia" w:ascii="宋体" w:hAnsi="宋体" w:eastAsia="宋体" w:cs="方正仿宋简体"/>
          <w:color w:val="auto"/>
          <w:szCs w:val="21"/>
        </w:rPr>
        <w:t>（三）本次</w:t>
      </w:r>
      <w:r>
        <w:rPr>
          <w:rFonts w:hint="eastAsia" w:ascii="宋体" w:hAnsi="宋体"/>
          <w:color w:val="auto"/>
        </w:rPr>
        <w:t>监督抽查抽样方法、检验依据、检验项目、判定规则按《</w:t>
      </w:r>
      <w:r>
        <w:rPr>
          <w:rFonts w:hint="eastAsia" w:ascii="宋体" w:hAnsi="宋体" w:cs="宋体"/>
          <w:kern w:val="0"/>
          <w:szCs w:val="21"/>
          <w:lang w:eastAsia="zh-CN"/>
        </w:rPr>
        <w:t>2025</w:t>
      </w:r>
      <w:r>
        <w:rPr>
          <w:rFonts w:hint="eastAsia" w:ascii="宋体" w:hAnsi="宋体" w:cs="宋体"/>
          <w:kern w:val="0"/>
          <w:szCs w:val="21"/>
          <w:lang w:val="en-US" w:eastAsia="zh-CN"/>
        </w:rPr>
        <w:t>年新疆昌吉国家农业高新技术产业示范区合成树脂乳液墙面涂料</w:t>
      </w:r>
      <w:r>
        <w:rPr>
          <w:rFonts w:hint="eastAsia" w:ascii="宋体" w:hAnsi="宋体" w:cs="宋体"/>
          <w:kern w:val="0"/>
          <w:szCs w:val="21"/>
        </w:rPr>
        <w:t>产品质量监督抽查实施细则</w:t>
      </w:r>
      <w:r>
        <w:rPr>
          <w:rFonts w:hint="eastAsia" w:ascii="宋体" w:hAnsi="宋体"/>
          <w:color w:val="auto"/>
        </w:rPr>
        <w:t>》执行。</w:t>
      </w:r>
      <w:bookmarkStart w:id="0" w:name="_GoBack"/>
      <w:bookmarkEnd w:id="0"/>
    </w:p>
    <w:p w14:paraId="1FB80EF3">
      <w:pPr>
        <w:keepNext w:val="0"/>
        <w:keepLines w:val="0"/>
        <w:pageBreakBefore w:val="0"/>
        <w:widowControl w:val="0"/>
        <w:kinsoku/>
        <w:wordWrap/>
        <w:overflowPunct/>
        <w:topLinePunct w:val="0"/>
        <w:autoSpaceDE/>
        <w:autoSpaceDN/>
        <w:bidi w:val="0"/>
        <w:spacing w:line="360" w:lineRule="auto"/>
        <w:ind w:firstLine="420" w:firstLineChars="200"/>
        <w:textAlignment w:val="auto"/>
      </w:pPr>
    </w:p>
    <w:sectPr>
      <w:headerReference r:id="rId6" w:type="default"/>
      <w:footerReference r:id="rId7" w:type="default"/>
      <w:footerReference r:id="rId8" w:type="even"/>
      <w:pgSz w:w="11906" w:h="16838"/>
      <w:pgMar w:top="1985" w:right="1361" w:bottom="136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DBD2D11-1BF1-4CD3-8438-5F9578328F34}"/>
  </w:font>
  <w:font w:name="黑体">
    <w:panose1 w:val="02010609060101010101"/>
    <w:charset w:val="86"/>
    <w:family w:val="auto"/>
    <w:pitch w:val="default"/>
    <w:sig w:usb0="800002BF" w:usb1="38CF7CFA" w:usb2="00000016" w:usb3="00000000" w:csb0="00040001" w:csb1="00000000"/>
    <w:embedRegular r:id="rId2" w:fontKey="{D62AD5EC-C2A1-4AC0-91D5-ED11BB9EE7E5}"/>
  </w:font>
  <w:font w:name="Courier New">
    <w:panose1 w:val="02070309020205020404"/>
    <w:charset w:val="01"/>
    <w:family w:val="modern"/>
    <w:pitch w:val="default"/>
    <w:sig w:usb0="E0002EFF" w:usb1="C0007843" w:usb2="00000009" w:usb3="00000000" w:csb0="400001FF" w:csb1="FFFF0000"/>
    <w:embedRegular r:id="rId3" w:fontKey="{8A726443-6976-414C-9E64-5750380B5F06}"/>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汉鼎简书宋二">
    <w:altName w:val="微软雅黑"/>
    <w:panose1 w:val="02010609010101010101"/>
    <w:charset w:val="86"/>
    <w:family w:val="modern"/>
    <w:pitch w:val="default"/>
    <w:sig w:usb0="00000000" w:usb1="00000000" w:usb2="00000012" w:usb3="00000000" w:csb0="6014008D" w:csb1="DFFF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embedRegular r:id="rId4" w:fontKey="{710FFDD5-F8AE-42C9-BC34-91B8B128FD74}"/>
  </w:font>
  <w:font w:name="方正小标宋简体">
    <w:panose1 w:val="02000000000000000000"/>
    <w:charset w:val="86"/>
    <w:family w:val="auto"/>
    <w:pitch w:val="default"/>
    <w:sig w:usb0="00000001" w:usb1="08000000" w:usb2="00000000" w:usb3="00000000" w:csb0="00040000" w:csb1="00000000"/>
    <w:embedRegular r:id="rId5" w:fontKey="{50212F90-0C87-40FB-BD72-A51FA3B82628}"/>
  </w:font>
  <w:font w:name="方正仿宋简体">
    <w:altName w:val="微软雅黑"/>
    <w:panose1 w:val="02000000000000000000"/>
    <w:charset w:val="86"/>
    <w:family w:val="auto"/>
    <w:pitch w:val="default"/>
    <w:sig w:usb0="00000000" w:usb1="00000000" w:usb2="00000012" w:usb3="00000000" w:csb0="00040001" w:csb1="00000000"/>
    <w:embedRegular r:id="rId6" w:fontKey="{08AA2CDB-ACC7-4A77-AF06-198CF948DC57}"/>
  </w:font>
  <w:font w:name="Sim Sun">
    <w:altName w:val="宋体"/>
    <w:panose1 w:val="00000000000000000000"/>
    <w:charset w:val="86"/>
    <w:family w:val="auto"/>
    <w:pitch w:val="default"/>
    <w:sig w:usb0="00000000" w:usb1="00000000" w:usb2="00000010" w:usb3="00000000" w:csb0="00040000" w:csb1="00000000"/>
    <w:embedRegular r:id="rId7" w:fontKey="{12118548-3ACF-43C1-96B9-E583AEC10A2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3098F">
    <w:pPr>
      <w:pStyle w:val="17"/>
      <w:jc w:val="center"/>
      <w:rPr>
        <w:rFonts w:hint="eastAsia" w:ascii="宋体" w:hAnsi="宋体"/>
        <w:sz w:val="20"/>
        <w:szCs w:val="28"/>
      </w:rPr>
    </w:pPr>
    <w:r>
      <w:rPr>
        <w:rFonts w:ascii="宋体" w:hAnsi="宋体"/>
        <w:sz w:val="20"/>
        <w:szCs w:val="28"/>
      </w:rPr>
      <w:fldChar w:fldCharType="begin"/>
    </w:r>
    <w:r>
      <w:rPr>
        <w:rFonts w:ascii="宋体" w:hAnsi="宋体"/>
        <w:sz w:val="20"/>
        <w:szCs w:val="28"/>
      </w:rPr>
      <w:instrText xml:space="preserve"> PAGE   \* MERGEFORMAT </w:instrText>
    </w:r>
    <w:r>
      <w:rPr>
        <w:rFonts w:ascii="宋体" w:hAnsi="宋体"/>
        <w:sz w:val="20"/>
        <w:szCs w:val="28"/>
      </w:rPr>
      <w:fldChar w:fldCharType="separate"/>
    </w:r>
    <w:r>
      <w:rPr>
        <w:rFonts w:ascii="宋体" w:hAnsi="宋体"/>
        <w:sz w:val="20"/>
        <w:szCs w:val="28"/>
        <w:lang w:val="zh-CN"/>
      </w:rPr>
      <w:t>2</w:t>
    </w:r>
    <w:r>
      <w:rPr>
        <w:rFonts w:ascii="宋体" w:hAnsi="宋体"/>
        <w:sz w:val="20"/>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4F9BC">
    <w:pPr>
      <w:pStyle w:val="17"/>
      <w:framePr w:wrap="around" w:vAnchor="text" w:hAnchor="margin" w:xAlign="center" w:y="1"/>
      <w:rPr>
        <w:rStyle w:val="27"/>
      </w:rPr>
    </w:pPr>
    <w:r>
      <w:fldChar w:fldCharType="begin"/>
    </w:r>
    <w:r>
      <w:rPr>
        <w:rStyle w:val="27"/>
      </w:rPr>
      <w:instrText xml:space="preserve">PAGE  </w:instrText>
    </w:r>
    <w:r>
      <w:fldChar w:fldCharType="separate"/>
    </w:r>
    <w:r>
      <w:rPr>
        <w:rStyle w:val="27"/>
      </w:rPr>
      <w:t>33</w:t>
    </w:r>
    <w:r>
      <w:fldChar w:fldCharType="end"/>
    </w:r>
  </w:p>
  <w:p w14:paraId="70687FBB">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908DB">
    <w:pPr>
      <w:pStyle w:val="1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300E5E">
                          <w:pPr>
                            <w:pStyle w:val="17"/>
                            <w:jc w:val="center"/>
                          </w:pPr>
                          <w:r>
                            <w:rPr>
                              <w:lang w:val="zh-CN"/>
                            </w:rPr>
                            <w:fldChar w:fldCharType="begin"/>
                          </w:r>
                          <w:r>
                            <w:rPr>
                              <w:lang w:val="zh-CN"/>
                            </w:rPr>
                            <w:instrText xml:space="preserve"> PAGE   \* MERGEFORMAT </w:instrText>
                          </w:r>
                          <w:r>
                            <w:rPr>
                              <w:lang w:val="zh-CN"/>
                            </w:rPr>
                            <w:fldChar w:fldCharType="separate"/>
                          </w:r>
                          <w:r>
                            <w:rPr>
                              <w:lang w:val="zh-CN"/>
                            </w:rPr>
                            <w:t>3</w:t>
                          </w:r>
                          <w:r>
                            <w:rPr>
                              <w:lang w:val="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14:paraId="0B300E5E">
                    <w:pPr>
                      <w:pStyle w:val="17"/>
                      <w:jc w:val="center"/>
                    </w:pPr>
                    <w:r>
                      <w:rPr>
                        <w:lang w:val="zh-CN"/>
                      </w:rPr>
                      <w:fldChar w:fldCharType="begin"/>
                    </w:r>
                    <w:r>
                      <w:rPr>
                        <w:lang w:val="zh-CN"/>
                      </w:rPr>
                      <w:instrText xml:space="preserve"> PAGE   \* MERGEFORMAT </w:instrText>
                    </w:r>
                    <w:r>
                      <w:rPr>
                        <w:lang w:val="zh-CN"/>
                      </w:rPr>
                      <w:fldChar w:fldCharType="separate"/>
                    </w:r>
                    <w:r>
                      <w:rPr>
                        <w:lang w:val="zh-CN"/>
                      </w:rPr>
                      <w:t>3</w:t>
                    </w:r>
                    <w:r>
                      <w:rPr>
                        <w:lang w:val="zh-CN"/>
                      </w:rPr>
                      <w:fldChar w:fldCharType="end"/>
                    </w:r>
                  </w:p>
                </w:txbxContent>
              </v:textbox>
            </v:shape>
          </w:pict>
        </mc:Fallback>
      </mc:AlternateContent>
    </w:r>
  </w:p>
  <w:p w14:paraId="2FDED9E5">
    <w:pPr>
      <w:pStyle w:val="1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906EF">
    <w:pPr>
      <w:pStyle w:val="17"/>
      <w:framePr w:wrap="around" w:vAnchor="text" w:hAnchor="margin" w:xAlign="center" w:y="1"/>
      <w:rPr>
        <w:rStyle w:val="27"/>
      </w:rPr>
    </w:pPr>
    <w:r>
      <w:fldChar w:fldCharType="begin"/>
    </w:r>
    <w:r>
      <w:rPr>
        <w:rStyle w:val="27"/>
      </w:rPr>
      <w:instrText xml:space="preserve">PAGE  </w:instrText>
    </w:r>
    <w:r>
      <w:fldChar w:fldCharType="end"/>
    </w:r>
  </w:p>
  <w:p w14:paraId="353D2F3A">
    <w:pPr>
      <w:pStyle w:val="1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60116">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55AD5">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650E7"/>
    <w:multiLevelType w:val="singleLevel"/>
    <w:tmpl w:val="A68650E7"/>
    <w:lvl w:ilvl="0" w:tentative="0">
      <w:start w:val="6"/>
      <w:numFmt w:val="chineseCounting"/>
      <w:suff w:val="nothing"/>
      <w:lvlText w:val="%1、"/>
      <w:lvlJc w:val="left"/>
      <w:rPr>
        <w:rFonts w:hint="eastAsia"/>
      </w:rPr>
    </w:lvl>
  </w:abstractNum>
  <w:abstractNum w:abstractNumId="1">
    <w:nsid w:val="00000005"/>
    <w:multiLevelType w:val="multilevel"/>
    <w:tmpl w:val="00000005"/>
    <w:lvl w:ilvl="0" w:tentative="0">
      <w:start w:val="1"/>
      <w:numFmt w:val="none"/>
      <w:pStyle w:val="119"/>
      <w:lvlText w:val="%1示例"/>
      <w:lvlJc w:val="left"/>
      <w:pPr>
        <w:tabs>
          <w:tab w:val="left" w:pos="1120"/>
        </w:tabs>
        <w:ind w:left="0" w:firstLine="4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D"/>
    <w:multiLevelType w:val="multilevel"/>
    <w:tmpl w:val="0000000D"/>
    <w:lvl w:ilvl="0" w:tentative="0">
      <w:start w:val="1"/>
      <w:numFmt w:val="none"/>
      <w:pStyle w:val="115"/>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E"/>
    <w:multiLevelType w:val="multilevel"/>
    <w:tmpl w:val="0000000E"/>
    <w:lvl w:ilvl="0" w:tentative="0">
      <w:start w:val="1"/>
      <w:numFmt w:val="none"/>
      <w:pStyle w:val="95"/>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F"/>
    <w:multiLevelType w:val="multilevel"/>
    <w:tmpl w:val="0000000F"/>
    <w:lvl w:ilvl="0" w:tentative="0">
      <w:start w:val="1"/>
      <w:numFmt w:val="none"/>
      <w:pStyle w:val="128"/>
      <w:lvlText w:val="表"/>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0"/>
    <w:multiLevelType w:val="multilevel"/>
    <w:tmpl w:val="00000010"/>
    <w:lvl w:ilvl="0" w:tentative="0">
      <w:start w:val="1"/>
      <w:numFmt w:val="decimal"/>
      <w:pStyle w:val="14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suff w:val="nothing"/>
      <w:lvlText w:val="%1%2.%3.%4.%5　"/>
      <w:lvlJc w:val="left"/>
      <w:pPr>
        <w:ind w:left="0" w:firstLine="0"/>
      </w:pPr>
      <w:rPr>
        <w:rFonts w:hint="default" w:ascii="Times New Roman" w:hAnsi="Times New Roman" w:eastAsia="黑体" w:cs="Times New Roman"/>
        <w:b w:val="0"/>
        <w:i w:val="0"/>
        <w:sz w:val="21"/>
      </w:rPr>
    </w:lvl>
    <w:lvl w:ilvl="5" w:tentative="0">
      <w:start w:val="1"/>
      <w:numFmt w:val="decimal"/>
      <w:suff w:val="nothing"/>
      <w:lvlText w:val="%1%2.%3.%4.%5.%6　"/>
      <w:lvlJc w:val="left"/>
      <w:pPr>
        <w:ind w:left="0" w:firstLine="0"/>
      </w:pPr>
      <w:rPr>
        <w:rFonts w:hint="default" w:ascii="Times New Roman" w:hAnsi="Times New Roman" w:eastAsia="黑体" w:cs="Times New Roman"/>
        <w:b w:val="0"/>
        <w:i w:val="0"/>
        <w:sz w:val="21"/>
      </w:rPr>
    </w:lvl>
    <w:lvl w:ilvl="6" w:tentative="0">
      <w:start w:val="1"/>
      <w:numFmt w:val="decimal"/>
      <w:suff w:val="nothing"/>
      <w:lvlText w:val="%1%2.%3.%4.%5.%6.%7　"/>
      <w:lvlJc w:val="left"/>
      <w:pPr>
        <w:ind w:left="0" w:firstLine="0"/>
      </w:pPr>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6">
    <w:nsid w:val="00000013"/>
    <w:multiLevelType w:val="multilevel"/>
    <w:tmpl w:val="00000013"/>
    <w:lvl w:ilvl="0" w:tentative="0">
      <w:start w:val="1"/>
      <w:numFmt w:val="decimal"/>
      <w:pStyle w:val="11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00000014"/>
    <w:multiLevelType w:val="multilevel"/>
    <w:tmpl w:val="00000014"/>
    <w:lvl w:ilvl="0" w:tentative="0">
      <w:start w:val="1"/>
      <w:numFmt w:val="upperLetter"/>
      <w:pStyle w:val="102"/>
      <w:suff w:val="nothing"/>
      <w:lvlText w:val="附　录　%1"/>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0000016"/>
    <w:multiLevelType w:val="multilevel"/>
    <w:tmpl w:val="00000016"/>
    <w:lvl w:ilvl="0" w:tentative="0">
      <w:start w:val="1"/>
      <w:numFmt w:val="none"/>
      <w:pStyle w:val="143"/>
      <w:suff w:val="nothing"/>
      <w:lvlText w:val="%1"/>
      <w:lvlJc w:val="left"/>
      <w:pPr>
        <w:ind w:left="0" w:firstLine="0"/>
      </w:pPr>
      <w:rPr>
        <w:rFonts w:hint="default" w:ascii="Times New Roman" w:hAnsi="Times New Roman" w:cs="Times New Roman"/>
        <w:b/>
        <w:i w:val="0"/>
        <w:sz w:val="21"/>
      </w:rPr>
    </w:lvl>
    <w:lvl w:ilvl="1" w:tentative="0">
      <w:start w:val="1"/>
      <w:numFmt w:val="decimal"/>
      <w:pStyle w:val="93"/>
      <w:suff w:val="nothing"/>
      <w:lvlText w:val="%1%2　"/>
      <w:lvlJc w:val="left"/>
      <w:pPr>
        <w:ind w:left="420" w:firstLine="0"/>
      </w:pPr>
      <w:rPr>
        <w:rFonts w:hint="eastAsia" w:ascii="黑体" w:hAnsi="Times New Roman" w:eastAsia="黑体"/>
        <w:b w:val="0"/>
        <w:i w:val="0"/>
        <w:sz w:val="21"/>
      </w:rPr>
    </w:lvl>
    <w:lvl w:ilvl="2" w:tentative="0">
      <w:start w:val="1"/>
      <w:numFmt w:val="decimal"/>
      <w:pStyle w:val="92"/>
      <w:suff w:val="nothing"/>
      <w:lvlText w:val="%1%2.%3　"/>
      <w:lvlJc w:val="left"/>
      <w:pPr>
        <w:ind w:left="426" w:firstLine="0"/>
      </w:pPr>
      <w:rPr>
        <w:rFonts w:hint="eastAsia" w:ascii="黑体" w:hAnsi="Times New Roman" w:eastAsia="黑体"/>
        <w:b w:val="0"/>
        <w:i w:val="0"/>
        <w:sz w:val="21"/>
      </w:rPr>
    </w:lvl>
    <w:lvl w:ilvl="3" w:tentative="0">
      <w:start w:val="1"/>
      <w:numFmt w:val="decimal"/>
      <w:pStyle w:val="91"/>
      <w:suff w:val="nothing"/>
      <w:lvlText w:val="%1%2.%3.%4　"/>
      <w:lvlJc w:val="left"/>
      <w:pPr>
        <w:ind w:left="315" w:firstLine="0"/>
      </w:pPr>
      <w:rPr>
        <w:rFonts w:hint="eastAsia" w:ascii="黑体" w:hAnsi="Times New Roman" w:eastAsia="黑体"/>
        <w:b w:val="0"/>
        <w:i w:val="0"/>
        <w:sz w:val="21"/>
      </w:rPr>
    </w:lvl>
    <w:lvl w:ilvl="4" w:tentative="0">
      <w:start w:val="1"/>
      <w:numFmt w:val="decimal"/>
      <w:pStyle w:val="90"/>
      <w:suff w:val="nothing"/>
      <w:lvlText w:val="%1%2.%3.%4.%5　"/>
      <w:lvlJc w:val="left"/>
      <w:pPr>
        <w:ind w:left="0" w:firstLine="0"/>
      </w:pPr>
      <w:rPr>
        <w:rFonts w:hint="eastAsia" w:ascii="黑体" w:hAnsi="Times New Roman" w:eastAsia="黑体"/>
        <w:b w:val="0"/>
        <w:i w:val="0"/>
        <w:sz w:val="21"/>
      </w:rPr>
    </w:lvl>
    <w:lvl w:ilvl="5" w:tentative="0">
      <w:start w:val="1"/>
      <w:numFmt w:val="decimal"/>
      <w:pStyle w:val="89"/>
      <w:suff w:val="nothing"/>
      <w:lvlText w:val="%1%2.%3.%4.%5.%6　"/>
      <w:lvlJc w:val="left"/>
      <w:pPr>
        <w:ind w:left="0" w:firstLine="0"/>
      </w:pPr>
      <w:rPr>
        <w:rFonts w:hint="eastAsia" w:ascii="黑体" w:hAnsi="Times New Roman" w:eastAsia="黑体"/>
        <w:b w:val="0"/>
        <w:i w:val="0"/>
        <w:sz w:val="21"/>
      </w:rPr>
    </w:lvl>
    <w:lvl w:ilvl="6" w:tentative="0">
      <w:start w:val="1"/>
      <w:numFmt w:val="decimal"/>
      <w:pStyle w:val="14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9">
    <w:nsid w:val="00000017"/>
    <w:multiLevelType w:val="multilevel"/>
    <w:tmpl w:val="00000017"/>
    <w:lvl w:ilvl="0" w:tentative="0">
      <w:start w:val="1"/>
      <w:numFmt w:val="none"/>
      <w:pStyle w:val="125"/>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9"/>
    <w:multiLevelType w:val="multilevel"/>
    <w:tmpl w:val="00000019"/>
    <w:lvl w:ilvl="0" w:tentative="0">
      <w:start w:val="1"/>
      <w:numFmt w:val="none"/>
      <w:pStyle w:val="103"/>
      <w:lvlText w:val="%1——"/>
      <w:lvlJc w:val="left"/>
      <w:pPr>
        <w:tabs>
          <w:tab w:val="left" w:pos="1140"/>
        </w:tabs>
        <w:ind w:left="8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91BEEE2"/>
    <w:multiLevelType w:val="singleLevel"/>
    <w:tmpl w:val="691BEEE2"/>
    <w:lvl w:ilvl="0" w:tentative="0">
      <w:start w:val="2"/>
      <w:numFmt w:val="chineseCounting"/>
      <w:suff w:val="nothing"/>
      <w:lvlText w:val="%1、"/>
      <w:lvlJc w:val="left"/>
      <w:rPr>
        <w:rFonts w:hint="eastAsia"/>
      </w:rPr>
    </w:lvl>
  </w:abstractNum>
  <w:abstractNum w:abstractNumId="12">
    <w:nsid w:val="697F7F97"/>
    <w:multiLevelType w:val="multilevel"/>
    <w:tmpl w:val="697F7F97"/>
    <w:lvl w:ilvl="0" w:tentative="0">
      <w:start w:val="1"/>
      <w:numFmt w:val="decimal"/>
      <w:pStyle w:val="101"/>
      <w:lvlText w:val="%1."/>
      <w:lvlJc w:val="left"/>
      <w:pPr>
        <w:tabs>
          <w:tab w:val="left" w:pos="420"/>
        </w:tabs>
        <w:ind w:left="420" w:hanging="420"/>
      </w:pPr>
      <w:rPr>
        <w:rFonts w:hint="default" w:ascii="Times New Roman" w:hAnsi="Times New Roman" w:cs="Times New Roman"/>
        <w:sz w:val="24"/>
        <w:szCs w:val="24"/>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pStyle w:val="107"/>
      <w:lvlText w:val="%4."/>
      <w:lvlJc w:val="left"/>
      <w:pPr>
        <w:tabs>
          <w:tab w:val="left" w:pos="1680"/>
        </w:tabs>
        <w:ind w:left="1680" w:hanging="420"/>
      </w:pPr>
    </w:lvl>
    <w:lvl w:ilvl="4" w:tentative="0">
      <w:start w:val="1"/>
      <w:numFmt w:val="lowerLetter"/>
      <w:pStyle w:val="98"/>
      <w:lvlText w:val="%5)"/>
      <w:lvlJc w:val="left"/>
      <w:pPr>
        <w:tabs>
          <w:tab w:val="left" w:pos="2100"/>
        </w:tabs>
        <w:ind w:left="2100" w:hanging="420"/>
      </w:pPr>
    </w:lvl>
    <w:lvl w:ilvl="5" w:tentative="0">
      <w:start w:val="1"/>
      <w:numFmt w:val="lowerRoman"/>
      <w:pStyle w:val="123"/>
      <w:lvlText w:val="%6."/>
      <w:lvlJc w:val="right"/>
      <w:pPr>
        <w:tabs>
          <w:tab w:val="left" w:pos="2520"/>
        </w:tabs>
        <w:ind w:left="2520" w:hanging="420"/>
      </w:pPr>
    </w:lvl>
    <w:lvl w:ilvl="6" w:tentative="0">
      <w:start w:val="1"/>
      <w:numFmt w:val="decimal"/>
      <w:pStyle w:val="117"/>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MzAxOGUwNWFlYjJiZTlkZTFjOWYyNjgxNTAzNjUifQ=="/>
    <w:docVar w:name="KSO_WPS_MARK_KEY" w:val="ec8d251d-11bc-4d88-9fa3-3d51017ca7c8"/>
  </w:docVars>
  <w:rsids>
    <w:rsidRoot w:val="008714E3"/>
    <w:rsid w:val="00000EB7"/>
    <w:rsid w:val="00010BE6"/>
    <w:rsid w:val="0001451A"/>
    <w:rsid w:val="0001521B"/>
    <w:rsid w:val="00015377"/>
    <w:rsid w:val="00021DA7"/>
    <w:rsid w:val="00021DC0"/>
    <w:rsid w:val="0002567C"/>
    <w:rsid w:val="000256CE"/>
    <w:rsid w:val="00025950"/>
    <w:rsid w:val="00027E9C"/>
    <w:rsid w:val="000310AB"/>
    <w:rsid w:val="00035C29"/>
    <w:rsid w:val="0003645E"/>
    <w:rsid w:val="00041713"/>
    <w:rsid w:val="00044373"/>
    <w:rsid w:val="00044E09"/>
    <w:rsid w:val="00045174"/>
    <w:rsid w:val="0004563C"/>
    <w:rsid w:val="00045D5B"/>
    <w:rsid w:val="00045F08"/>
    <w:rsid w:val="000507BF"/>
    <w:rsid w:val="00052155"/>
    <w:rsid w:val="00053823"/>
    <w:rsid w:val="0005469A"/>
    <w:rsid w:val="00055291"/>
    <w:rsid w:val="00060CCA"/>
    <w:rsid w:val="0006464B"/>
    <w:rsid w:val="000669E0"/>
    <w:rsid w:val="000722B9"/>
    <w:rsid w:val="00072463"/>
    <w:rsid w:val="00073D71"/>
    <w:rsid w:val="0007440F"/>
    <w:rsid w:val="000763D0"/>
    <w:rsid w:val="0008483B"/>
    <w:rsid w:val="000875FD"/>
    <w:rsid w:val="00087EAD"/>
    <w:rsid w:val="0009345E"/>
    <w:rsid w:val="000941C4"/>
    <w:rsid w:val="000A1ECF"/>
    <w:rsid w:val="000A3184"/>
    <w:rsid w:val="000A3EBC"/>
    <w:rsid w:val="000A4C74"/>
    <w:rsid w:val="000A6DD8"/>
    <w:rsid w:val="000A73B5"/>
    <w:rsid w:val="000B170E"/>
    <w:rsid w:val="000B1F60"/>
    <w:rsid w:val="000B4696"/>
    <w:rsid w:val="000B5EF0"/>
    <w:rsid w:val="000B7C93"/>
    <w:rsid w:val="000C2A14"/>
    <w:rsid w:val="000C6B1E"/>
    <w:rsid w:val="000E35C3"/>
    <w:rsid w:val="000E559E"/>
    <w:rsid w:val="000F132F"/>
    <w:rsid w:val="000F543B"/>
    <w:rsid w:val="0010042C"/>
    <w:rsid w:val="0010408C"/>
    <w:rsid w:val="00113871"/>
    <w:rsid w:val="00114123"/>
    <w:rsid w:val="001149C0"/>
    <w:rsid w:val="00116CF5"/>
    <w:rsid w:val="0013433E"/>
    <w:rsid w:val="001401F3"/>
    <w:rsid w:val="001446AD"/>
    <w:rsid w:val="00145A6B"/>
    <w:rsid w:val="00163146"/>
    <w:rsid w:val="00167284"/>
    <w:rsid w:val="0016737A"/>
    <w:rsid w:val="00173284"/>
    <w:rsid w:val="00174A25"/>
    <w:rsid w:val="001752E9"/>
    <w:rsid w:val="0017713B"/>
    <w:rsid w:val="001847D1"/>
    <w:rsid w:val="001873F2"/>
    <w:rsid w:val="001911D2"/>
    <w:rsid w:val="00195960"/>
    <w:rsid w:val="00196250"/>
    <w:rsid w:val="001B08FE"/>
    <w:rsid w:val="001B102C"/>
    <w:rsid w:val="001B185C"/>
    <w:rsid w:val="001C07E1"/>
    <w:rsid w:val="001C2B98"/>
    <w:rsid w:val="001C678D"/>
    <w:rsid w:val="001C73E5"/>
    <w:rsid w:val="001D6057"/>
    <w:rsid w:val="001D76FA"/>
    <w:rsid w:val="001D7AEB"/>
    <w:rsid w:val="001E2D32"/>
    <w:rsid w:val="001E7947"/>
    <w:rsid w:val="001E7F79"/>
    <w:rsid w:val="001F12FC"/>
    <w:rsid w:val="00201EF7"/>
    <w:rsid w:val="00204C23"/>
    <w:rsid w:val="0020627B"/>
    <w:rsid w:val="002147FA"/>
    <w:rsid w:val="00240434"/>
    <w:rsid w:val="00241237"/>
    <w:rsid w:val="00242F61"/>
    <w:rsid w:val="002479E5"/>
    <w:rsid w:val="0025065B"/>
    <w:rsid w:val="00252932"/>
    <w:rsid w:val="00254E83"/>
    <w:rsid w:val="002600ED"/>
    <w:rsid w:val="00260D96"/>
    <w:rsid w:val="00265C9A"/>
    <w:rsid w:val="0026711D"/>
    <w:rsid w:val="00280597"/>
    <w:rsid w:val="00280D2C"/>
    <w:rsid w:val="00282281"/>
    <w:rsid w:val="00284A98"/>
    <w:rsid w:val="002872CC"/>
    <w:rsid w:val="002876A5"/>
    <w:rsid w:val="00287F65"/>
    <w:rsid w:val="002916D1"/>
    <w:rsid w:val="00292ADE"/>
    <w:rsid w:val="002A1971"/>
    <w:rsid w:val="002A6497"/>
    <w:rsid w:val="002B0928"/>
    <w:rsid w:val="002B3ABF"/>
    <w:rsid w:val="002B7F5E"/>
    <w:rsid w:val="002C0411"/>
    <w:rsid w:val="002C4BD6"/>
    <w:rsid w:val="002C5EE4"/>
    <w:rsid w:val="002D008D"/>
    <w:rsid w:val="002D15AA"/>
    <w:rsid w:val="002D3FE1"/>
    <w:rsid w:val="002D7DED"/>
    <w:rsid w:val="002E0ED4"/>
    <w:rsid w:val="002E7089"/>
    <w:rsid w:val="002F0A70"/>
    <w:rsid w:val="002F10E0"/>
    <w:rsid w:val="002F352B"/>
    <w:rsid w:val="002F5205"/>
    <w:rsid w:val="0030719D"/>
    <w:rsid w:val="00314640"/>
    <w:rsid w:val="00320648"/>
    <w:rsid w:val="00321EE7"/>
    <w:rsid w:val="00325644"/>
    <w:rsid w:val="00331217"/>
    <w:rsid w:val="00335B56"/>
    <w:rsid w:val="00337A0F"/>
    <w:rsid w:val="00342BA2"/>
    <w:rsid w:val="00345659"/>
    <w:rsid w:val="003459DE"/>
    <w:rsid w:val="00361D25"/>
    <w:rsid w:val="003666D6"/>
    <w:rsid w:val="003678DF"/>
    <w:rsid w:val="0038628A"/>
    <w:rsid w:val="003875B9"/>
    <w:rsid w:val="00394480"/>
    <w:rsid w:val="003A1042"/>
    <w:rsid w:val="003A342F"/>
    <w:rsid w:val="003B3D33"/>
    <w:rsid w:val="003C4A03"/>
    <w:rsid w:val="003C53EE"/>
    <w:rsid w:val="003D13C7"/>
    <w:rsid w:val="003D27EC"/>
    <w:rsid w:val="003D31BE"/>
    <w:rsid w:val="003E41AA"/>
    <w:rsid w:val="003E51F7"/>
    <w:rsid w:val="003E55C7"/>
    <w:rsid w:val="003E7D80"/>
    <w:rsid w:val="003F561F"/>
    <w:rsid w:val="00406C08"/>
    <w:rsid w:val="00410556"/>
    <w:rsid w:val="00421D16"/>
    <w:rsid w:val="00427549"/>
    <w:rsid w:val="00427C92"/>
    <w:rsid w:val="00430D48"/>
    <w:rsid w:val="004317D4"/>
    <w:rsid w:val="00441120"/>
    <w:rsid w:val="00442528"/>
    <w:rsid w:val="00450041"/>
    <w:rsid w:val="004601FE"/>
    <w:rsid w:val="004652BF"/>
    <w:rsid w:val="00467BD0"/>
    <w:rsid w:val="00470DA2"/>
    <w:rsid w:val="0047501C"/>
    <w:rsid w:val="00481F23"/>
    <w:rsid w:val="0048272B"/>
    <w:rsid w:val="0049468A"/>
    <w:rsid w:val="00496CF1"/>
    <w:rsid w:val="004A5829"/>
    <w:rsid w:val="004B355D"/>
    <w:rsid w:val="004B35D7"/>
    <w:rsid w:val="004C4689"/>
    <w:rsid w:val="004C6444"/>
    <w:rsid w:val="004C6E8D"/>
    <w:rsid w:val="004D17CD"/>
    <w:rsid w:val="004D40DC"/>
    <w:rsid w:val="004D53E5"/>
    <w:rsid w:val="004D6584"/>
    <w:rsid w:val="004F255A"/>
    <w:rsid w:val="004F59DC"/>
    <w:rsid w:val="004F7472"/>
    <w:rsid w:val="00500849"/>
    <w:rsid w:val="005008DC"/>
    <w:rsid w:val="00502F73"/>
    <w:rsid w:val="00505E7C"/>
    <w:rsid w:val="00506ED2"/>
    <w:rsid w:val="0050784B"/>
    <w:rsid w:val="00522EF7"/>
    <w:rsid w:val="00525E83"/>
    <w:rsid w:val="00531BAE"/>
    <w:rsid w:val="00533DDC"/>
    <w:rsid w:val="00534E4E"/>
    <w:rsid w:val="00535DED"/>
    <w:rsid w:val="005365FD"/>
    <w:rsid w:val="00544617"/>
    <w:rsid w:val="00547225"/>
    <w:rsid w:val="00552AA0"/>
    <w:rsid w:val="00554C96"/>
    <w:rsid w:val="00560C6E"/>
    <w:rsid w:val="005626D8"/>
    <w:rsid w:val="005675FC"/>
    <w:rsid w:val="00575A19"/>
    <w:rsid w:val="00577510"/>
    <w:rsid w:val="00577B88"/>
    <w:rsid w:val="00581229"/>
    <w:rsid w:val="00586CEA"/>
    <w:rsid w:val="005936E6"/>
    <w:rsid w:val="005945F3"/>
    <w:rsid w:val="00597090"/>
    <w:rsid w:val="005A098B"/>
    <w:rsid w:val="005A51EA"/>
    <w:rsid w:val="005A653C"/>
    <w:rsid w:val="005B520F"/>
    <w:rsid w:val="005C5560"/>
    <w:rsid w:val="005C6907"/>
    <w:rsid w:val="005D3E22"/>
    <w:rsid w:val="005D6020"/>
    <w:rsid w:val="005E16B6"/>
    <w:rsid w:val="005E60C4"/>
    <w:rsid w:val="005E7E9C"/>
    <w:rsid w:val="005F06A8"/>
    <w:rsid w:val="005F6500"/>
    <w:rsid w:val="005F6B32"/>
    <w:rsid w:val="006000E3"/>
    <w:rsid w:val="0060579A"/>
    <w:rsid w:val="006114C6"/>
    <w:rsid w:val="006116B3"/>
    <w:rsid w:val="006123FB"/>
    <w:rsid w:val="00621C4A"/>
    <w:rsid w:val="00627DA6"/>
    <w:rsid w:val="00630994"/>
    <w:rsid w:val="00642285"/>
    <w:rsid w:val="00647A2B"/>
    <w:rsid w:val="00651C5F"/>
    <w:rsid w:val="0065437A"/>
    <w:rsid w:val="00655EB9"/>
    <w:rsid w:val="006563E0"/>
    <w:rsid w:val="00662B77"/>
    <w:rsid w:val="00662BF9"/>
    <w:rsid w:val="00671CCC"/>
    <w:rsid w:val="0067214E"/>
    <w:rsid w:val="00675B7F"/>
    <w:rsid w:val="00680784"/>
    <w:rsid w:val="006814FF"/>
    <w:rsid w:val="00695BA3"/>
    <w:rsid w:val="006A2487"/>
    <w:rsid w:val="006A4374"/>
    <w:rsid w:val="006A69D8"/>
    <w:rsid w:val="006B415F"/>
    <w:rsid w:val="006B4881"/>
    <w:rsid w:val="006C15A9"/>
    <w:rsid w:val="006C26EF"/>
    <w:rsid w:val="006C608B"/>
    <w:rsid w:val="006C66DA"/>
    <w:rsid w:val="006C6B24"/>
    <w:rsid w:val="006C6FA8"/>
    <w:rsid w:val="006C74F7"/>
    <w:rsid w:val="006D0D78"/>
    <w:rsid w:val="006D30A7"/>
    <w:rsid w:val="006D510A"/>
    <w:rsid w:val="006D583A"/>
    <w:rsid w:val="006E2297"/>
    <w:rsid w:val="006E3040"/>
    <w:rsid w:val="006F12BA"/>
    <w:rsid w:val="006F2E09"/>
    <w:rsid w:val="006F59BC"/>
    <w:rsid w:val="006F6091"/>
    <w:rsid w:val="00710D7E"/>
    <w:rsid w:val="00711873"/>
    <w:rsid w:val="00715769"/>
    <w:rsid w:val="00715B57"/>
    <w:rsid w:val="0071747F"/>
    <w:rsid w:val="00723F20"/>
    <w:rsid w:val="00730225"/>
    <w:rsid w:val="00730355"/>
    <w:rsid w:val="0074731D"/>
    <w:rsid w:val="007478AB"/>
    <w:rsid w:val="00751E7B"/>
    <w:rsid w:val="00757E53"/>
    <w:rsid w:val="0076027C"/>
    <w:rsid w:val="00760DC0"/>
    <w:rsid w:val="00760F3E"/>
    <w:rsid w:val="00770CE8"/>
    <w:rsid w:val="00771618"/>
    <w:rsid w:val="00777380"/>
    <w:rsid w:val="00781015"/>
    <w:rsid w:val="00782872"/>
    <w:rsid w:val="0078390C"/>
    <w:rsid w:val="00784942"/>
    <w:rsid w:val="0078780E"/>
    <w:rsid w:val="007912EA"/>
    <w:rsid w:val="007920C3"/>
    <w:rsid w:val="007A1819"/>
    <w:rsid w:val="007A3615"/>
    <w:rsid w:val="007A4C01"/>
    <w:rsid w:val="007A6F7B"/>
    <w:rsid w:val="007B1E04"/>
    <w:rsid w:val="007B3062"/>
    <w:rsid w:val="007B308C"/>
    <w:rsid w:val="007C0A9B"/>
    <w:rsid w:val="007C110F"/>
    <w:rsid w:val="007C7A16"/>
    <w:rsid w:val="007D09FD"/>
    <w:rsid w:val="007D1B0B"/>
    <w:rsid w:val="007D30AB"/>
    <w:rsid w:val="007D45E7"/>
    <w:rsid w:val="007F46F4"/>
    <w:rsid w:val="0082218F"/>
    <w:rsid w:val="00822556"/>
    <w:rsid w:val="008234CF"/>
    <w:rsid w:val="00824617"/>
    <w:rsid w:val="00825936"/>
    <w:rsid w:val="00826018"/>
    <w:rsid w:val="0082735D"/>
    <w:rsid w:val="008357C0"/>
    <w:rsid w:val="008434FE"/>
    <w:rsid w:val="00844F24"/>
    <w:rsid w:val="008454B8"/>
    <w:rsid w:val="00845E6C"/>
    <w:rsid w:val="008541FA"/>
    <w:rsid w:val="00855283"/>
    <w:rsid w:val="008619A2"/>
    <w:rsid w:val="00863E7F"/>
    <w:rsid w:val="008665AA"/>
    <w:rsid w:val="00866C94"/>
    <w:rsid w:val="008714E3"/>
    <w:rsid w:val="00873713"/>
    <w:rsid w:val="00882088"/>
    <w:rsid w:val="00884A0B"/>
    <w:rsid w:val="00885413"/>
    <w:rsid w:val="008948E5"/>
    <w:rsid w:val="008A006E"/>
    <w:rsid w:val="008A03E3"/>
    <w:rsid w:val="008A137B"/>
    <w:rsid w:val="008A317F"/>
    <w:rsid w:val="008A39E6"/>
    <w:rsid w:val="008B20D7"/>
    <w:rsid w:val="008B2FF3"/>
    <w:rsid w:val="008D08AF"/>
    <w:rsid w:val="008D560C"/>
    <w:rsid w:val="008E0605"/>
    <w:rsid w:val="008E3582"/>
    <w:rsid w:val="008F7C61"/>
    <w:rsid w:val="00900FCF"/>
    <w:rsid w:val="00902A3D"/>
    <w:rsid w:val="009136E5"/>
    <w:rsid w:val="00915995"/>
    <w:rsid w:val="00916E3B"/>
    <w:rsid w:val="0092484F"/>
    <w:rsid w:val="00924D15"/>
    <w:rsid w:val="00931918"/>
    <w:rsid w:val="00932B6F"/>
    <w:rsid w:val="00936DBF"/>
    <w:rsid w:val="00943D0A"/>
    <w:rsid w:val="0095784E"/>
    <w:rsid w:val="00965481"/>
    <w:rsid w:val="009677EC"/>
    <w:rsid w:val="009703D7"/>
    <w:rsid w:val="00973849"/>
    <w:rsid w:val="00974D8C"/>
    <w:rsid w:val="00975C89"/>
    <w:rsid w:val="00976287"/>
    <w:rsid w:val="00976F5E"/>
    <w:rsid w:val="00977B9D"/>
    <w:rsid w:val="00981755"/>
    <w:rsid w:val="009840D1"/>
    <w:rsid w:val="009849FF"/>
    <w:rsid w:val="00993609"/>
    <w:rsid w:val="00996681"/>
    <w:rsid w:val="00996DF8"/>
    <w:rsid w:val="009A37D5"/>
    <w:rsid w:val="009A40CE"/>
    <w:rsid w:val="009B08FA"/>
    <w:rsid w:val="009C405E"/>
    <w:rsid w:val="009C451E"/>
    <w:rsid w:val="009D12BA"/>
    <w:rsid w:val="009D1ADA"/>
    <w:rsid w:val="009D63CA"/>
    <w:rsid w:val="009E335B"/>
    <w:rsid w:val="009E344B"/>
    <w:rsid w:val="009E6EAB"/>
    <w:rsid w:val="009E766B"/>
    <w:rsid w:val="00A019E6"/>
    <w:rsid w:val="00A033E8"/>
    <w:rsid w:val="00A12496"/>
    <w:rsid w:val="00A15D29"/>
    <w:rsid w:val="00A15F48"/>
    <w:rsid w:val="00A2218E"/>
    <w:rsid w:val="00A2338E"/>
    <w:rsid w:val="00A315AC"/>
    <w:rsid w:val="00A33324"/>
    <w:rsid w:val="00A33F24"/>
    <w:rsid w:val="00A3478F"/>
    <w:rsid w:val="00A3670D"/>
    <w:rsid w:val="00A373B9"/>
    <w:rsid w:val="00A43E13"/>
    <w:rsid w:val="00A4437D"/>
    <w:rsid w:val="00A44436"/>
    <w:rsid w:val="00A44FE7"/>
    <w:rsid w:val="00A476DA"/>
    <w:rsid w:val="00A5145A"/>
    <w:rsid w:val="00A561DF"/>
    <w:rsid w:val="00A56FA5"/>
    <w:rsid w:val="00A57672"/>
    <w:rsid w:val="00A61ED1"/>
    <w:rsid w:val="00A64FF3"/>
    <w:rsid w:val="00A7223F"/>
    <w:rsid w:val="00A73BD0"/>
    <w:rsid w:val="00A75167"/>
    <w:rsid w:val="00A802B2"/>
    <w:rsid w:val="00A83946"/>
    <w:rsid w:val="00A877B1"/>
    <w:rsid w:val="00A917C9"/>
    <w:rsid w:val="00A924D8"/>
    <w:rsid w:val="00A9377D"/>
    <w:rsid w:val="00AA1B04"/>
    <w:rsid w:val="00AA43F0"/>
    <w:rsid w:val="00AB0F4C"/>
    <w:rsid w:val="00AB1DEB"/>
    <w:rsid w:val="00AB20F8"/>
    <w:rsid w:val="00AB25DB"/>
    <w:rsid w:val="00AB3E62"/>
    <w:rsid w:val="00AB658F"/>
    <w:rsid w:val="00AB692F"/>
    <w:rsid w:val="00AC2EC3"/>
    <w:rsid w:val="00AC4399"/>
    <w:rsid w:val="00AC4466"/>
    <w:rsid w:val="00AC5EEC"/>
    <w:rsid w:val="00AC6A8D"/>
    <w:rsid w:val="00AD256A"/>
    <w:rsid w:val="00AD2FBA"/>
    <w:rsid w:val="00AD58CE"/>
    <w:rsid w:val="00AD68AE"/>
    <w:rsid w:val="00AE6EFC"/>
    <w:rsid w:val="00AE7022"/>
    <w:rsid w:val="00AE7590"/>
    <w:rsid w:val="00AF04AA"/>
    <w:rsid w:val="00AF0AAE"/>
    <w:rsid w:val="00AF109F"/>
    <w:rsid w:val="00AF3D83"/>
    <w:rsid w:val="00AF57D3"/>
    <w:rsid w:val="00B04A3E"/>
    <w:rsid w:val="00B11926"/>
    <w:rsid w:val="00B15AB6"/>
    <w:rsid w:val="00B16243"/>
    <w:rsid w:val="00B1638E"/>
    <w:rsid w:val="00B30025"/>
    <w:rsid w:val="00B31BC1"/>
    <w:rsid w:val="00B3209C"/>
    <w:rsid w:val="00B33387"/>
    <w:rsid w:val="00B342ED"/>
    <w:rsid w:val="00B3551F"/>
    <w:rsid w:val="00B36B29"/>
    <w:rsid w:val="00B3754B"/>
    <w:rsid w:val="00B377AD"/>
    <w:rsid w:val="00B415EE"/>
    <w:rsid w:val="00B41EB5"/>
    <w:rsid w:val="00B4521D"/>
    <w:rsid w:val="00B555F7"/>
    <w:rsid w:val="00B62EF6"/>
    <w:rsid w:val="00B66978"/>
    <w:rsid w:val="00B67BDA"/>
    <w:rsid w:val="00B67DB4"/>
    <w:rsid w:val="00B70146"/>
    <w:rsid w:val="00B71E10"/>
    <w:rsid w:val="00B722D0"/>
    <w:rsid w:val="00B770C0"/>
    <w:rsid w:val="00B91B36"/>
    <w:rsid w:val="00BA00CF"/>
    <w:rsid w:val="00BA3410"/>
    <w:rsid w:val="00BB0CF0"/>
    <w:rsid w:val="00BB262E"/>
    <w:rsid w:val="00BB265B"/>
    <w:rsid w:val="00BB60F1"/>
    <w:rsid w:val="00BB75BF"/>
    <w:rsid w:val="00BC1634"/>
    <w:rsid w:val="00BC19C4"/>
    <w:rsid w:val="00BC518E"/>
    <w:rsid w:val="00BC5F9C"/>
    <w:rsid w:val="00BC6536"/>
    <w:rsid w:val="00BD11E1"/>
    <w:rsid w:val="00BD4C3C"/>
    <w:rsid w:val="00BD5329"/>
    <w:rsid w:val="00BD7128"/>
    <w:rsid w:val="00BE0E53"/>
    <w:rsid w:val="00BE1F69"/>
    <w:rsid w:val="00BF1DDB"/>
    <w:rsid w:val="00BF4C80"/>
    <w:rsid w:val="00C007C9"/>
    <w:rsid w:val="00C01171"/>
    <w:rsid w:val="00C0540A"/>
    <w:rsid w:val="00C10162"/>
    <w:rsid w:val="00C11489"/>
    <w:rsid w:val="00C15392"/>
    <w:rsid w:val="00C249CB"/>
    <w:rsid w:val="00C24E0B"/>
    <w:rsid w:val="00C316B9"/>
    <w:rsid w:val="00C3265C"/>
    <w:rsid w:val="00C357FB"/>
    <w:rsid w:val="00C42B43"/>
    <w:rsid w:val="00C42C06"/>
    <w:rsid w:val="00C43172"/>
    <w:rsid w:val="00C5230E"/>
    <w:rsid w:val="00C52653"/>
    <w:rsid w:val="00C52852"/>
    <w:rsid w:val="00C546A2"/>
    <w:rsid w:val="00C546E1"/>
    <w:rsid w:val="00C6035C"/>
    <w:rsid w:val="00C6432F"/>
    <w:rsid w:val="00C64713"/>
    <w:rsid w:val="00C66405"/>
    <w:rsid w:val="00C72A10"/>
    <w:rsid w:val="00C739C2"/>
    <w:rsid w:val="00C75EEA"/>
    <w:rsid w:val="00C81556"/>
    <w:rsid w:val="00C8167D"/>
    <w:rsid w:val="00C95448"/>
    <w:rsid w:val="00C9784B"/>
    <w:rsid w:val="00CA23EC"/>
    <w:rsid w:val="00CA67D4"/>
    <w:rsid w:val="00CB08D6"/>
    <w:rsid w:val="00CB231A"/>
    <w:rsid w:val="00CB33A2"/>
    <w:rsid w:val="00CB6F25"/>
    <w:rsid w:val="00CC088B"/>
    <w:rsid w:val="00CC093C"/>
    <w:rsid w:val="00CC1980"/>
    <w:rsid w:val="00CC1A11"/>
    <w:rsid w:val="00CD1AAA"/>
    <w:rsid w:val="00CD6468"/>
    <w:rsid w:val="00CD7E12"/>
    <w:rsid w:val="00CF4902"/>
    <w:rsid w:val="00CF511F"/>
    <w:rsid w:val="00CF75FC"/>
    <w:rsid w:val="00D04DE7"/>
    <w:rsid w:val="00D0597A"/>
    <w:rsid w:val="00D06ADE"/>
    <w:rsid w:val="00D1423D"/>
    <w:rsid w:val="00D17CC4"/>
    <w:rsid w:val="00D25EEA"/>
    <w:rsid w:val="00D36789"/>
    <w:rsid w:val="00D40103"/>
    <w:rsid w:val="00D52EBA"/>
    <w:rsid w:val="00D548B0"/>
    <w:rsid w:val="00D565C9"/>
    <w:rsid w:val="00D606E0"/>
    <w:rsid w:val="00D6198A"/>
    <w:rsid w:val="00D652E7"/>
    <w:rsid w:val="00D66507"/>
    <w:rsid w:val="00D70CAC"/>
    <w:rsid w:val="00D71B70"/>
    <w:rsid w:val="00D72322"/>
    <w:rsid w:val="00D741FF"/>
    <w:rsid w:val="00D75029"/>
    <w:rsid w:val="00D75C40"/>
    <w:rsid w:val="00D85891"/>
    <w:rsid w:val="00D86884"/>
    <w:rsid w:val="00D87D7F"/>
    <w:rsid w:val="00D91DAD"/>
    <w:rsid w:val="00D93A19"/>
    <w:rsid w:val="00D941BB"/>
    <w:rsid w:val="00D95C60"/>
    <w:rsid w:val="00D96C62"/>
    <w:rsid w:val="00DA02C2"/>
    <w:rsid w:val="00DA51F4"/>
    <w:rsid w:val="00DA5383"/>
    <w:rsid w:val="00DA7486"/>
    <w:rsid w:val="00DB0A08"/>
    <w:rsid w:val="00DB3BFC"/>
    <w:rsid w:val="00DC2837"/>
    <w:rsid w:val="00DC3D67"/>
    <w:rsid w:val="00DD1C38"/>
    <w:rsid w:val="00DD2FB4"/>
    <w:rsid w:val="00DD519D"/>
    <w:rsid w:val="00DD5AF9"/>
    <w:rsid w:val="00DE03C6"/>
    <w:rsid w:val="00DF3462"/>
    <w:rsid w:val="00E036EF"/>
    <w:rsid w:val="00E06828"/>
    <w:rsid w:val="00E0682D"/>
    <w:rsid w:val="00E116B0"/>
    <w:rsid w:val="00E12D75"/>
    <w:rsid w:val="00E15D9A"/>
    <w:rsid w:val="00E171CB"/>
    <w:rsid w:val="00E24C3C"/>
    <w:rsid w:val="00E24FC9"/>
    <w:rsid w:val="00E33A30"/>
    <w:rsid w:val="00E41B83"/>
    <w:rsid w:val="00E47E5A"/>
    <w:rsid w:val="00E502C1"/>
    <w:rsid w:val="00E57D42"/>
    <w:rsid w:val="00E609EE"/>
    <w:rsid w:val="00E618B9"/>
    <w:rsid w:val="00E64995"/>
    <w:rsid w:val="00E7046D"/>
    <w:rsid w:val="00E71668"/>
    <w:rsid w:val="00E76F44"/>
    <w:rsid w:val="00E80B46"/>
    <w:rsid w:val="00E81A53"/>
    <w:rsid w:val="00E8540D"/>
    <w:rsid w:val="00E85B73"/>
    <w:rsid w:val="00E911D8"/>
    <w:rsid w:val="00E96812"/>
    <w:rsid w:val="00EA1875"/>
    <w:rsid w:val="00EA2E2F"/>
    <w:rsid w:val="00EB3E30"/>
    <w:rsid w:val="00EB4863"/>
    <w:rsid w:val="00EC0AF0"/>
    <w:rsid w:val="00EC4883"/>
    <w:rsid w:val="00EC69DD"/>
    <w:rsid w:val="00ED25CC"/>
    <w:rsid w:val="00ED56A0"/>
    <w:rsid w:val="00ED7915"/>
    <w:rsid w:val="00EE5763"/>
    <w:rsid w:val="00EE5ABC"/>
    <w:rsid w:val="00EE65A5"/>
    <w:rsid w:val="00EF2EE0"/>
    <w:rsid w:val="00EF300B"/>
    <w:rsid w:val="00EF33C8"/>
    <w:rsid w:val="00EF4B19"/>
    <w:rsid w:val="00F02C00"/>
    <w:rsid w:val="00F044AF"/>
    <w:rsid w:val="00F054D7"/>
    <w:rsid w:val="00F0631B"/>
    <w:rsid w:val="00F109A3"/>
    <w:rsid w:val="00F171AA"/>
    <w:rsid w:val="00F17549"/>
    <w:rsid w:val="00F17A05"/>
    <w:rsid w:val="00F20618"/>
    <w:rsid w:val="00F23216"/>
    <w:rsid w:val="00F25843"/>
    <w:rsid w:val="00F2663A"/>
    <w:rsid w:val="00F26DEE"/>
    <w:rsid w:val="00F378FA"/>
    <w:rsid w:val="00F43575"/>
    <w:rsid w:val="00F44AA4"/>
    <w:rsid w:val="00F5101D"/>
    <w:rsid w:val="00F5125F"/>
    <w:rsid w:val="00F54A0F"/>
    <w:rsid w:val="00F5765C"/>
    <w:rsid w:val="00F60561"/>
    <w:rsid w:val="00F60A5D"/>
    <w:rsid w:val="00F6231F"/>
    <w:rsid w:val="00F6694E"/>
    <w:rsid w:val="00F67C53"/>
    <w:rsid w:val="00F71732"/>
    <w:rsid w:val="00F719DD"/>
    <w:rsid w:val="00F72E31"/>
    <w:rsid w:val="00F73939"/>
    <w:rsid w:val="00F74CB9"/>
    <w:rsid w:val="00F832A6"/>
    <w:rsid w:val="00F872F6"/>
    <w:rsid w:val="00F92818"/>
    <w:rsid w:val="00F973F8"/>
    <w:rsid w:val="00FA763C"/>
    <w:rsid w:val="00FB2D83"/>
    <w:rsid w:val="00FB68B7"/>
    <w:rsid w:val="00FC13DC"/>
    <w:rsid w:val="00FC5325"/>
    <w:rsid w:val="00FD0513"/>
    <w:rsid w:val="00FD061A"/>
    <w:rsid w:val="00FD1CDF"/>
    <w:rsid w:val="00FE732C"/>
    <w:rsid w:val="00FE79C1"/>
    <w:rsid w:val="00FF147C"/>
    <w:rsid w:val="00FF4CC2"/>
    <w:rsid w:val="0106064B"/>
    <w:rsid w:val="017D108C"/>
    <w:rsid w:val="018E41AC"/>
    <w:rsid w:val="0224362A"/>
    <w:rsid w:val="02AA433D"/>
    <w:rsid w:val="02F76042"/>
    <w:rsid w:val="03F04F67"/>
    <w:rsid w:val="04E55F93"/>
    <w:rsid w:val="054C6C5C"/>
    <w:rsid w:val="06A26376"/>
    <w:rsid w:val="07B514B2"/>
    <w:rsid w:val="080D4B38"/>
    <w:rsid w:val="08B04B35"/>
    <w:rsid w:val="09016473"/>
    <w:rsid w:val="09782915"/>
    <w:rsid w:val="098D32FE"/>
    <w:rsid w:val="09EC6DF2"/>
    <w:rsid w:val="0A1D3568"/>
    <w:rsid w:val="0A3245B8"/>
    <w:rsid w:val="0A67365C"/>
    <w:rsid w:val="0BCB49DD"/>
    <w:rsid w:val="0C1E777F"/>
    <w:rsid w:val="0C887007"/>
    <w:rsid w:val="0E1D6186"/>
    <w:rsid w:val="0EB809CB"/>
    <w:rsid w:val="0EF01452"/>
    <w:rsid w:val="0EFF16A6"/>
    <w:rsid w:val="0FB20945"/>
    <w:rsid w:val="0FF82A0A"/>
    <w:rsid w:val="101B444C"/>
    <w:rsid w:val="101E1E5F"/>
    <w:rsid w:val="10C65628"/>
    <w:rsid w:val="11327C11"/>
    <w:rsid w:val="122E4F60"/>
    <w:rsid w:val="12FE6911"/>
    <w:rsid w:val="13013E4B"/>
    <w:rsid w:val="13051255"/>
    <w:rsid w:val="138936BD"/>
    <w:rsid w:val="14043A7F"/>
    <w:rsid w:val="15C42375"/>
    <w:rsid w:val="15FA52F0"/>
    <w:rsid w:val="16F76AD3"/>
    <w:rsid w:val="17132308"/>
    <w:rsid w:val="188C7D16"/>
    <w:rsid w:val="1ADE1083"/>
    <w:rsid w:val="1B5E1209"/>
    <w:rsid w:val="1B832CA9"/>
    <w:rsid w:val="1C163051"/>
    <w:rsid w:val="1CB07F6D"/>
    <w:rsid w:val="1CFB4D1D"/>
    <w:rsid w:val="1D291FE4"/>
    <w:rsid w:val="1D311E4F"/>
    <w:rsid w:val="1D525C6F"/>
    <w:rsid w:val="1F7E6F02"/>
    <w:rsid w:val="20566A7C"/>
    <w:rsid w:val="220B163E"/>
    <w:rsid w:val="22AF2E1B"/>
    <w:rsid w:val="24434E52"/>
    <w:rsid w:val="24594C10"/>
    <w:rsid w:val="24B22093"/>
    <w:rsid w:val="24C64E37"/>
    <w:rsid w:val="2513205D"/>
    <w:rsid w:val="256D5204"/>
    <w:rsid w:val="266B4134"/>
    <w:rsid w:val="26AB1654"/>
    <w:rsid w:val="273F0361"/>
    <w:rsid w:val="27901D6C"/>
    <w:rsid w:val="27D9693B"/>
    <w:rsid w:val="280A1100"/>
    <w:rsid w:val="28196097"/>
    <w:rsid w:val="291B385B"/>
    <w:rsid w:val="2A172FA1"/>
    <w:rsid w:val="2A6A4AE6"/>
    <w:rsid w:val="2A743533"/>
    <w:rsid w:val="2A866B51"/>
    <w:rsid w:val="2BB5109D"/>
    <w:rsid w:val="2C723060"/>
    <w:rsid w:val="2D2B320F"/>
    <w:rsid w:val="2DCF130E"/>
    <w:rsid w:val="2EAD61B1"/>
    <w:rsid w:val="2EFA720E"/>
    <w:rsid w:val="2F2E270F"/>
    <w:rsid w:val="30365DDB"/>
    <w:rsid w:val="308E44A4"/>
    <w:rsid w:val="30FA1B8D"/>
    <w:rsid w:val="316917D2"/>
    <w:rsid w:val="31DB7B50"/>
    <w:rsid w:val="32E220D1"/>
    <w:rsid w:val="335C1265"/>
    <w:rsid w:val="344C34B2"/>
    <w:rsid w:val="346769A8"/>
    <w:rsid w:val="34696828"/>
    <w:rsid w:val="3517269F"/>
    <w:rsid w:val="35962DC2"/>
    <w:rsid w:val="35B3339B"/>
    <w:rsid w:val="364434A1"/>
    <w:rsid w:val="36B964E1"/>
    <w:rsid w:val="37C83096"/>
    <w:rsid w:val="38585566"/>
    <w:rsid w:val="38F70491"/>
    <w:rsid w:val="390C20A7"/>
    <w:rsid w:val="391D4354"/>
    <w:rsid w:val="3A1E3DBB"/>
    <w:rsid w:val="3A8631C7"/>
    <w:rsid w:val="3B0F3157"/>
    <w:rsid w:val="3B2A7491"/>
    <w:rsid w:val="3B495EAE"/>
    <w:rsid w:val="3B561B2D"/>
    <w:rsid w:val="3B711F19"/>
    <w:rsid w:val="3CFA4EE1"/>
    <w:rsid w:val="3D4E0207"/>
    <w:rsid w:val="3E1A5306"/>
    <w:rsid w:val="3E2D0CC6"/>
    <w:rsid w:val="3EE37DED"/>
    <w:rsid w:val="4027050A"/>
    <w:rsid w:val="403E6449"/>
    <w:rsid w:val="405F5252"/>
    <w:rsid w:val="40A22D5E"/>
    <w:rsid w:val="40E5219C"/>
    <w:rsid w:val="412E6AFA"/>
    <w:rsid w:val="424E57FB"/>
    <w:rsid w:val="4390377C"/>
    <w:rsid w:val="43D227D4"/>
    <w:rsid w:val="44830754"/>
    <w:rsid w:val="449932A7"/>
    <w:rsid w:val="450A6EB6"/>
    <w:rsid w:val="46504938"/>
    <w:rsid w:val="46704DBD"/>
    <w:rsid w:val="469A1760"/>
    <w:rsid w:val="46CB74E1"/>
    <w:rsid w:val="46D16794"/>
    <w:rsid w:val="46E713FA"/>
    <w:rsid w:val="47D83B33"/>
    <w:rsid w:val="49B656A7"/>
    <w:rsid w:val="4AFA50B6"/>
    <w:rsid w:val="4AFA6384"/>
    <w:rsid w:val="4C461861"/>
    <w:rsid w:val="4C786BC0"/>
    <w:rsid w:val="4CD46E72"/>
    <w:rsid w:val="4CFF4AA4"/>
    <w:rsid w:val="4D1C1903"/>
    <w:rsid w:val="4D876A67"/>
    <w:rsid w:val="4DAA63BE"/>
    <w:rsid w:val="4E9A0BE8"/>
    <w:rsid w:val="4EC01701"/>
    <w:rsid w:val="4EFA050E"/>
    <w:rsid w:val="4F105E40"/>
    <w:rsid w:val="509C1537"/>
    <w:rsid w:val="517C1C50"/>
    <w:rsid w:val="51AB666D"/>
    <w:rsid w:val="51B15B57"/>
    <w:rsid w:val="5206207D"/>
    <w:rsid w:val="52483D98"/>
    <w:rsid w:val="52CE1387"/>
    <w:rsid w:val="5379443F"/>
    <w:rsid w:val="54115CDC"/>
    <w:rsid w:val="54D75F28"/>
    <w:rsid w:val="55822AA4"/>
    <w:rsid w:val="55AB6DB5"/>
    <w:rsid w:val="56774490"/>
    <w:rsid w:val="56D94638"/>
    <w:rsid w:val="578973E9"/>
    <w:rsid w:val="58473CE7"/>
    <w:rsid w:val="58A43CF2"/>
    <w:rsid w:val="5A905C12"/>
    <w:rsid w:val="5B9C686B"/>
    <w:rsid w:val="5CA43831"/>
    <w:rsid w:val="5D283143"/>
    <w:rsid w:val="5F36446E"/>
    <w:rsid w:val="5F474097"/>
    <w:rsid w:val="5FC10ECD"/>
    <w:rsid w:val="5FCA638D"/>
    <w:rsid w:val="604C5A90"/>
    <w:rsid w:val="60EE6589"/>
    <w:rsid w:val="629F6DAD"/>
    <w:rsid w:val="63470AEF"/>
    <w:rsid w:val="63D53837"/>
    <w:rsid w:val="6481375E"/>
    <w:rsid w:val="64CE10B1"/>
    <w:rsid w:val="65164F00"/>
    <w:rsid w:val="66313869"/>
    <w:rsid w:val="663A71E5"/>
    <w:rsid w:val="67C346B7"/>
    <w:rsid w:val="67C44D7A"/>
    <w:rsid w:val="67F77F08"/>
    <w:rsid w:val="69101CD9"/>
    <w:rsid w:val="699F5813"/>
    <w:rsid w:val="6A0B7385"/>
    <w:rsid w:val="6B2E422E"/>
    <w:rsid w:val="6B4C26F3"/>
    <w:rsid w:val="6C3A4A4F"/>
    <w:rsid w:val="6CD178FD"/>
    <w:rsid w:val="6D80534B"/>
    <w:rsid w:val="6DA07B3F"/>
    <w:rsid w:val="6E815426"/>
    <w:rsid w:val="6EBA37B1"/>
    <w:rsid w:val="6F5B3E2B"/>
    <w:rsid w:val="6F6D3020"/>
    <w:rsid w:val="6F840B90"/>
    <w:rsid w:val="70304C68"/>
    <w:rsid w:val="708F3E34"/>
    <w:rsid w:val="710F1E69"/>
    <w:rsid w:val="720466F3"/>
    <w:rsid w:val="72640C56"/>
    <w:rsid w:val="73777748"/>
    <w:rsid w:val="737E14BC"/>
    <w:rsid w:val="74485741"/>
    <w:rsid w:val="747C2FDA"/>
    <w:rsid w:val="747F7035"/>
    <w:rsid w:val="74D12E61"/>
    <w:rsid w:val="75A432DF"/>
    <w:rsid w:val="76E4030A"/>
    <w:rsid w:val="773B1437"/>
    <w:rsid w:val="77510590"/>
    <w:rsid w:val="78103FBC"/>
    <w:rsid w:val="78BA4CA5"/>
    <w:rsid w:val="78BA670B"/>
    <w:rsid w:val="78F00A6E"/>
    <w:rsid w:val="79C46573"/>
    <w:rsid w:val="7A8F7F06"/>
    <w:rsid w:val="7B227516"/>
    <w:rsid w:val="7B3513B7"/>
    <w:rsid w:val="7B383FDC"/>
    <w:rsid w:val="7BA908FD"/>
    <w:rsid w:val="7C0E7550"/>
    <w:rsid w:val="7C1F6B89"/>
    <w:rsid w:val="7C725F38"/>
    <w:rsid w:val="7D1B7706"/>
    <w:rsid w:val="7E0C7AC0"/>
    <w:rsid w:val="7EBD1383"/>
    <w:rsid w:val="7F8E502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qFormat="1" w:unhideWhenUsed="0" w:uiPriority="0" w:semiHidden="0" w:name="Body Text Indent 3"/>
    <w:lsdException w:uiPriority="99" w:name="Block Text"/>
    <w:lsdException w:qFormat="1"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qFormat="1" w:uiPriority="0" w:semiHidden="0" w:name="HTML Address"/>
    <w:lsdException w:uiPriority="99" w:name="HTML Cite"/>
    <w:lsdException w:qFormat="1" w:uiPriority="0" w:semiHidden="0" w:name="HTML Code"/>
    <w:lsdException w:uiPriority="99" w:name="HTML Definition"/>
    <w:lsdException w:qFormat="1" w:uiPriority="0" w:semiHidden="0" w:name="HTML Keyboard"/>
    <w:lsdException w:qFormat="1" w:uiPriority="0" w:semiHidden="0" w:name="HTML Preformatted"/>
    <w:lsdException w:qFormat="1" w:uiPriority="0" w:semiHidden="0" w:name="HTML Sample"/>
    <w:lsdException w:qFormat="1" w:uiPriority="0" w:semiHidden="0" w:name="HTML Typewriter"/>
    <w:lsdException w:uiPriority="99" w:name="HTML Variable"/>
    <w:lsdException w:qFormat="1" w:unhideWhenUsed="0" w:uiPriority="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0"/>
    <w:pPr>
      <w:keepNext/>
      <w:keepLines/>
      <w:spacing w:before="340" w:after="330" w:line="576" w:lineRule="auto"/>
      <w:outlineLvl w:val="0"/>
    </w:pPr>
    <w:rPr>
      <w:rFonts w:ascii="Calibri" w:hAnsi="Calibri"/>
      <w:b/>
      <w:bCs/>
      <w:kern w:val="44"/>
      <w:sz w:val="44"/>
      <w:szCs w:val="44"/>
    </w:rPr>
  </w:style>
  <w:style w:type="paragraph" w:styleId="3">
    <w:name w:val="heading 2"/>
    <w:basedOn w:val="1"/>
    <w:next w:val="1"/>
    <w:link w:val="37"/>
    <w:qFormat/>
    <w:uiPriority w:val="0"/>
    <w:pPr>
      <w:keepNext/>
      <w:keepLines/>
      <w:spacing w:before="260" w:after="260" w:line="412" w:lineRule="auto"/>
      <w:outlineLvl w:val="1"/>
    </w:pPr>
    <w:rPr>
      <w:rFonts w:ascii="Arial" w:hAnsi="Arial" w:eastAsia="黑体"/>
      <w:b/>
      <w:bCs/>
      <w:sz w:val="32"/>
      <w:szCs w:val="32"/>
    </w:rPr>
  </w:style>
  <w:style w:type="paragraph" w:styleId="4">
    <w:name w:val="heading 3"/>
    <w:basedOn w:val="1"/>
    <w:next w:val="1"/>
    <w:link w:val="38"/>
    <w:qFormat/>
    <w:uiPriority w:val="0"/>
    <w:pPr>
      <w:spacing w:before="100" w:beforeAutospacing="1" w:after="100" w:afterAutospacing="1"/>
      <w:jc w:val="left"/>
      <w:outlineLvl w:val="2"/>
    </w:pPr>
    <w:rPr>
      <w:rFonts w:ascii="宋体" w:hAnsi="宋体"/>
      <w:b/>
      <w:kern w:val="0"/>
      <w:sz w:val="27"/>
      <w:szCs w:val="27"/>
    </w:rPr>
  </w:style>
  <w:style w:type="paragraph" w:styleId="5">
    <w:name w:val="heading 4"/>
    <w:basedOn w:val="1"/>
    <w:next w:val="1"/>
    <w:link w:val="39"/>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41"/>
    <w:qFormat/>
    <w:uiPriority w:val="0"/>
    <w:pPr>
      <w:keepNext/>
      <w:keepLines/>
      <w:spacing w:before="240" w:after="64" w:line="316" w:lineRule="auto"/>
      <w:outlineLvl w:val="5"/>
    </w:pPr>
    <w:rPr>
      <w:rFonts w:ascii="Arial" w:hAnsi="Arial" w:eastAsia="黑体"/>
      <w:b/>
      <w:bCs/>
      <w:sz w:val="24"/>
    </w:rPr>
  </w:style>
  <w:style w:type="paragraph" w:styleId="8">
    <w:name w:val="heading 7"/>
    <w:basedOn w:val="1"/>
    <w:next w:val="1"/>
    <w:link w:val="42"/>
    <w:qFormat/>
    <w:uiPriority w:val="0"/>
    <w:pPr>
      <w:keepNext/>
      <w:keepLines/>
      <w:spacing w:before="240" w:after="64" w:line="316" w:lineRule="auto"/>
      <w:outlineLvl w:val="6"/>
    </w:pPr>
    <w:rPr>
      <w:rFonts w:ascii="Calibri" w:hAnsi="Calibri"/>
      <w:b/>
      <w:bCs/>
      <w:sz w:val="24"/>
    </w:rPr>
  </w:style>
  <w:style w:type="paragraph" w:styleId="9">
    <w:name w:val="heading 8"/>
    <w:basedOn w:val="1"/>
    <w:next w:val="1"/>
    <w:link w:val="43"/>
    <w:qFormat/>
    <w:uiPriority w:val="0"/>
    <w:pPr>
      <w:keepNext/>
      <w:keepLines/>
      <w:spacing w:before="240" w:after="64" w:line="316" w:lineRule="auto"/>
      <w:outlineLvl w:val="7"/>
    </w:pPr>
    <w:rPr>
      <w:rFonts w:ascii="Arial" w:hAnsi="Arial" w:eastAsia="黑体"/>
      <w:sz w:val="24"/>
    </w:rPr>
  </w:style>
  <w:style w:type="paragraph" w:styleId="10">
    <w:name w:val="heading 9"/>
    <w:basedOn w:val="1"/>
    <w:next w:val="1"/>
    <w:link w:val="44"/>
    <w:qFormat/>
    <w:uiPriority w:val="0"/>
    <w:pPr>
      <w:keepNext/>
      <w:keepLines/>
      <w:spacing w:before="240" w:after="64" w:line="316" w:lineRule="auto"/>
      <w:outlineLvl w:val="8"/>
    </w:pPr>
    <w:rPr>
      <w:rFonts w:ascii="Arial" w:hAnsi="Arial" w:eastAsia="黑体"/>
      <w:szCs w:val="21"/>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11">
    <w:name w:val="annotation text"/>
    <w:basedOn w:val="1"/>
    <w:link w:val="45"/>
    <w:unhideWhenUsed/>
    <w:qFormat/>
    <w:uiPriority w:val="99"/>
    <w:pPr>
      <w:jc w:val="left"/>
    </w:pPr>
  </w:style>
  <w:style w:type="paragraph" w:styleId="12">
    <w:name w:val="HTML Address"/>
    <w:basedOn w:val="1"/>
    <w:link w:val="46"/>
    <w:unhideWhenUsed/>
    <w:qFormat/>
    <w:uiPriority w:val="0"/>
    <w:rPr>
      <w:rFonts w:ascii="Calibri" w:hAnsi="Calibri"/>
      <w:i/>
      <w:iCs/>
    </w:rPr>
  </w:style>
  <w:style w:type="paragraph" w:styleId="13">
    <w:name w:val="Plain Text"/>
    <w:basedOn w:val="1"/>
    <w:link w:val="47"/>
    <w:unhideWhenUsed/>
    <w:qFormat/>
    <w:uiPriority w:val="0"/>
    <w:rPr>
      <w:rFonts w:ascii="宋体" w:hAnsi="Courier New"/>
      <w:szCs w:val="20"/>
    </w:rPr>
  </w:style>
  <w:style w:type="paragraph" w:styleId="14">
    <w:name w:val="Date"/>
    <w:basedOn w:val="1"/>
    <w:next w:val="1"/>
    <w:link w:val="48"/>
    <w:unhideWhenUsed/>
    <w:qFormat/>
    <w:uiPriority w:val="99"/>
    <w:pPr>
      <w:ind w:left="100" w:leftChars="2500"/>
    </w:pPr>
  </w:style>
  <w:style w:type="paragraph" w:styleId="15">
    <w:name w:val="Body Text Indent 2"/>
    <w:basedOn w:val="1"/>
    <w:link w:val="49"/>
    <w:unhideWhenUsed/>
    <w:qFormat/>
    <w:uiPriority w:val="0"/>
    <w:pPr>
      <w:spacing w:after="120" w:line="480" w:lineRule="auto"/>
      <w:ind w:left="420" w:leftChars="200"/>
    </w:pPr>
  </w:style>
  <w:style w:type="paragraph" w:styleId="16">
    <w:name w:val="Balloon Text"/>
    <w:basedOn w:val="1"/>
    <w:link w:val="50"/>
    <w:unhideWhenUsed/>
    <w:qFormat/>
    <w:uiPriority w:val="99"/>
    <w:rPr>
      <w:sz w:val="18"/>
      <w:szCs w:val="18"/>
    </w:rPr>
  </w:style>
  <w:style w:type="paragraph" w:styleId="17">
    <w:name w:val="footer"/>
    <w:basedOn w:val="1"/>
    <w:link w:val="51"/>
    <w:unhideWhenUsed/>
    <w:qFormat/>
    <w:uiPriority w:val="99"/>
    <w:pPr>
      <w:tabs>
        <w:tab w:val="center" w:pos="4153"/>
        <w:tab w:val="right" w:pos="8306"/>
      </w:tabs>
      <w:snapToGrid w:val="0"/>
      <w:jc w:val="left"/>
    </w:pPr>
    <w:rPr>
      <w:sz w:val="18"/>
      <w:szCs w:val="18"/>
    </w:rPr>
  </w:style>
  <w:style w:type="paragraph" w:styleId="1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footnote text"/>
    <w:basedOn w:val="1"/>
    <w:link w:val="53"/>
    <w:unhideWhenUsed/>
    <w:qFormat/>
    <w:uiPriority w:val="0"/>
    <w:pPr>
      <w:snapToGrid w:val="0"/>
      <w:jc w:val="left"/>
    </w:pPr>
    <w:rPr>
      <w:rFonts w:ascii="Calibri" w:hAnsi="Calibri"/>
      <w:sz w:val="18"/>
      <w:szCs w:val="18"/>
    </w:rPr>
  </w:style>
  <w:style w:type="paragraph" w:styleId="20">
    <w:name w:val="Body Text Indent 3"/>
    <w:basedOn w:val="1"/>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21">
    <w:name w:val="HTML Preformatted"/>
    <w:basedOn w:val="1"/>
    <w:link w:val="54"/>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22">
    <w:name w:val="Title"/>
    <w:basedOn w:val="1"/>
    <w:link w:val="55"/>
    <w:qFormat/>
    <w:uiPriority w:val="0"/>
    <w:pPr>
      <w:spacing w:before="240" w:after="60"/>
      <w:jc w:val="center"/>
      <w:outlineLvl w:val="0"/>
    </w:pPr>
    <w:rPr>
      <w:rFonts w:ascii="Arial" w:hAnsi="Arial"/>
      <w:b/>
      <w:bCs/>
      <w:sz w:val="32"/>
      <w:szCs w:val="32"/>
    </w:rPr>
  </w:style>
  <w:style w:type="paragraph" w:styleId="23">
    <w:name w:val="annotation subject"/>
    <w:basedOn w:val="11"/>
    <w:next w:val="11"/>
    <w:link w:val="56"/>
    <w:unhideWhenUsed/>
    <w:qFormat/>
    <w:uiPriority w:val="99"/>
    <w:rPr>
      <w:b/>
      <w:bCs/>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unhideWhenUsed/>
    <w:qFormat/>
    <w:uiPriority w:val="99"/>
    <w:rPr>
      <w:color w:val="800080"/>
      <w:u w:val="single"/>
    </w:rPr>
  </w:style>
  <w:style w:type="character" w:styleId="29">
    <w:name w:val="HTML Typewriter"/>
    <w:unhideWhenUsed/>
    <w:qFormat/>
    <w:uiPriority w:val="0"/>
    <w:rPr>
      <w:rFonts w:hint="default" w:ascii="Courier New" w:hAnsi="Courier New" w:eastAsia="Times New Roman" w:cs="Times New Roman"/>
      <w:sz w:val="24"/>
      <w:szCs w:val="24"/>
    </w:rPr>
  </w:style>
  <w:style w:type="character" w:styleId="30">
    <w:name w:val="Hyperlink"/>
    <w:unhideWhenUsed/>
    <w:qFormat/>
    <w:uiPriority w:val="0"/>
    <w:rPr>
      <w:color w:val="0000FF"/>
      <w:u w:val="single"/>
    </w:rPr>
  </w:style>
  <w:style w:type="character" w:styleId="31">
    <w:name w:val="HTML Code"/>
    <w:unhideWhenUsed/>
    <w:qFormat/>
    <w:uiPriority w:val="0"/>
    <w:rPr>
      <w:rFonts w:hint="default" w:ascii="Courier New" w:hAnsi="Courier New" w:eastAsia="Times New Roman" w:cs="Times New Roman"/>
      <w:sz w:val="24"/>
      <w:szCs w:val="24"/>
    </w:rPr>
  </w:style>
  <w:style w:type="character" w:styleId="32">
    <w:name w:val="annotation reference"/>
    <w:unhideWhenUsed/>
    <w:qFormat/>
    <w:uiPriority w:val="99"/>
    <w:rPr>
      <w:sz w:val="21"/>
      <w:szCs w:val="21"/>
    </w:rPr>
  </w:style>
  <w:style w:type="character" w:styleId="33">
    <w:name w:val="footnote reference"/>
    <w:unhideWhenUsed/>
    <w:qFormat/>
    <w:uiPriority w:val="0"/>
    <w:rPr>
      <w:vertAlign w:val="superscript"/>
    </w:rPr>
  </w:style>
  <w:style w:type="character" w:styleId="34">
    <w:name w:val="HTML Keyboard"/>
    <w:unhideWhenUsed/>
    <w:qFormat/>
    <w:uiPriority w:val="0"/>
    <w:rPr>
      <w:rFonts w:hint="default" w:ascii="Courier New" w:hAnsi="Courier New" w:eastAsia="Times New Roman" w:cs="Times New Roman"/>
      <w:sz w:val="24"/>
      <w:szCs w:val="24"/>
    </w:rPr>
  </w:style>
  <w:style w:type="character" w:styleId="35">
    <w:name w:val="HTML Sample"/>
    <w:unhideWhenUsed/>
    <w:qFormat/>
    <w:uiPriority w:val="0"/>
    <w:rPr>
      <w:rFonts w:hint="default" w:ascii="Courier New" w:hAnsi="Courier New" w:eastAsia="Times New Roman" w:cs="Times New Roman"/>
    </w:rPr>
  </w:style>
  <w:style w:type="character" w:customStyle="1" w:styleId="36">
    <w:name w:val="标题 1 字符"/>
    <w:link w:val="2"/>
    <w:qFormat/>
    <w:uiPriority w:val="0"/>
    <w:rPr>
      <w:rFonts w:ascii="Calibri" w:hAnsi="Calibri"/>
      <w:b/>
      <w:bCs/>
      <w:kern w:val="44"/>
      <w:sz w:val="44"/>
      <w:szCs w:val="44"/>
    </w:rPr>
  </w:style>
  <w:style w:type="character" w:customStyle="1" w:styleId="37">
    <w:name w:val="标题 2 字符"/>
    <w:link w:val="3"/>
    <w:semiHidden/>
    <w:qFormat/>
    <w:uiPriority w:val="0"/>
    <w:rPr>
      <w:rFonts w:ascii="Arial" w:hAnsi="Arial" w:eastAsia="黑体"/>
      <w:b/>
      <w:bCs/>
      <w:kern w:val="2"/>
      <w:sz w:val="32"/>
      <w:szCs w:val="32"/>
    </w:rPr>
  </w:style>
  <w:style w:type="character" w:customStyle="1" w:styleId="38">
    <w:name w:val="标题 3 字符"/>
    <w:link w:val="4"/>
    <w:qFormat/>
    <w:uiPriority w:val="0"/>
    <w:rPr>
      <w:rFonts w:ascii="宋体" w:hAnsi="宋体"/>
      <w:b/>
      <w:sz w:val="27"/>
      <w:szCs w:val="27"/>
    </w:rPr>
  </w:style>
  <w:style w:type="character" w:customStyle="1" w:styleId="39">
    <w:name w:val="标题 4 字符"/>
    <w:link w:val="5"/>
    <w:semiHidden/>
    <w:qFormat/>
    <w:uiPriority w:val="0"/>
    <w:rPr>
      <w:rFonts w:ascii="Arial" w:hAnsi="Arial" w:eastAsia="黑体"/>
      <w:b/>
      <w:bCs/>
      <w:kern w:val="2"/>
      <w:sz w:val="28"/>
      <w:szCs w:val="28"/>
    </w:rPr>
  </w:style>
  <w:style w:type="character" w:customStyle="1" w:styleId="40">
    <w:name w:val="标题 5 字符"/>
    <w:link w:val="6"/>
    <w:semiHidden/>
    <w:qFormat/>
    <w:uiPriority w:val="0"/>
    <w:rPr>
      <w:rFonts w:ascii="Calibri" w:hAnsi="Calibri"/>
      <w:b/>
      <w:bCs/>
      <w:kern w:val="2"/>
      <w:sz w:val="28"/>
      <w:szCs w:val="28"/>
    </w:rPr>
  </w:style>
  <w:style w:type="character" w:customStyle="1" w:styleId="41">
    <w:name w:val="标题 6 字符"/>
    <w:link w:val="7"/>
    <w:semiHidden/>
    <w:qFormat/>
    <w:uiPriority w:val="0"/>
    <w:rPr>
      <w:rFonts w:ascii="Arial" w:hAnsi="Arial" w:eastAsia="黑体"/>
      <w:b/>
      <w:bCs/>
      <w:kern w:val="2"/>
      <w:sz w:val="24"/>
      <w:szCs w:val="24"/>
    </w:rPr>
  </w:style>
  <w:style w:type="character" w:customStyle="1" w:styleId="42">
    <w:name w:val="标题 7 字符"/>
    <w:link w:val="8"/>
    <w:semiHidden/>
    <w:qFormat/>
    <w:uiPriority w:val="0"/>
    <w:rPr>
      <w:rFonts w:ascii="Calibri" w:hAnsi="Calibri"/>
      <w:b/>
      <w:bCs/>
      <w:kern w:val="2"/>
      <w:sz w:val="24"/>
      <w:szCs w:val="24"/>
    </w:rPr>
  </w:style>
  <w:style w:type="character" w:customStyle="1" w:styleId="43">
    <w:name w:val="标题 8 字符"/>
    <w:link w:val="9"/>
    <w:semiHidden/>
    <w:qFormat/>
    <w:uiPriority w:val="0"/>
    <w:rPr>
      <w:rFonts w:ascii="Arial" w:hAnsi="Arial" w:eastAsia="黑体"/>
      <w:kern w:val="2"/>
      <w:sz w:val="24"/>
      <w:szCs w:val="24"/>
    </w:rPr>
  </w:style>
  <w:style w:type="character" w:customStyle="1" w:styleId="44">
    <w:name w:val="标题 9 字符"/>
    <w:link w:val="10"/>
    <w:semiHidden/>
    <w:qFormat/>
    <w:uiPriority w:val="0"/>
    <w:rPr>
      <w:rFonts w:ascii="Arial" w:hAnsi="Arial" w:eastAsia="黑体"/>
      <w:kern w:val="2"/>
      <w:sz w:val="21"/>
      <w:szCs w:val="21"/>
    </w:rPr>
  </w:style>
  <w:style w:type="character" w:customStyle="1" w:styleId="45">
    <w:name w:val="批注文字 字符1"/>
    <w:link w:val="11"/>
    <w:semiHidden/>
    <w:qFormat/>
    <w:uiPriority w:val="99"/>
    <w:rPr>
      <w:kern w:val="2"/>
      <w:sz w:val="21"/>
      <w:szCs w:val="24"/>
    </w:rPr>
  </w:style>
  <w:style w:type="character" w:customStyle="1" w:styleId="46">
    <w:name w:val="HTML 地址 字符"/>
    <w:link w:val="12"/>
    <w:semiHidden/>
    <w:qFormat/>
    <w:uiPriority w:val="0"/>
    <w:rPr>
      <w:rFonts w:ascii="Calibri" w:hAnsi="Calibri"/>
      <w:i/>
      <w:iCs/>
      <w:kern w:val="2"/>
      <w:sz w:val="21"/>
      <w:szCs w:val="24"/>
    </w:rPr>
  </w:style>
  <w:style w:type="character" w:customStyle="1" w:styleId="47">
    <w:name w:val="纯文本 字符"/>
    <w:link w:val="13"/>
    <w:semiHidden/>
    <w:qFormat/>
    <w:uiPriority w:val="0"/>
    <w:rPr>
      <w:rFonts w:ascii="宋体" w:hAnsi="Courier New"/>
      <w:kern w:val="2"/>
      <w:sz w:val="21"/>
    </w:rPr>
  </w:style>
  <w:style w:type="character" w:customStyle="1" w:styleId="48">
    <w:name w:val="日期 字符1"/>
    <w:link w:val="14"/>
    <w:semiHidden/>
    <w:qFormat/>
    <w:uiPriority w:val="99"/>
    <w:rPr>
      <w:kern w:val="2"/>
      <w:sz w:val="21"/>
      <w:szCs w:val="24"/>
    </w:rPr>
  </w:style>
  <w:style w:type="character" w:customStyle="1" w:styleId="49">
    <w:name w:val="正文文本缩进 2 字符"/>
    <w:link w:val="15"/>
    <w:semiHidden/>
    <w:qFormat/>
    <w:uiPriority w:val="0"/>
    <w:rPr>
      <w:kern w:val="2"/>
      <w:sz w:val="21"/>
      <w:szCs w:val="24"/>
    </w:rPr>
  </w:style>
  <w:style w:type="character" w:customStyle="1" w:styleId="50">
    <w:name w:val="批注框文本 字符1"/>
    <w:link w:val="16"/>
    <w:semiHidden/>
    <w:qFormat/>
    <w:uiPriority w:val="99"/>
    <w:rPr>
      <w:kern w:val="2"/>
      <w:sz w:val="18"/>
      <w:szCs w:val="18"/>
    </w:rPr>
  </w:style>
  <w:style w:type="character" w:customStyle="1" w:styleId="51">
    <w:name w:val="页脚 字符1"/>
    <w:link w:val="17"/>
    <w:qFormat/>
    <w:uiPriority w:val="99"/>
    <w:rPr>
      <w:kern w:val="2"/>
      <w:sz w:val="18"/>
      <w:szCs w:val="18"/>
    </w:rPr>
  </w:style>
  <w:style w:type="character" w:customStyle="1" w:styleId="52">
    <w:name w:val="页眉 字符2"/>
    <w:link w:val="18"/>
    <w:semiHidden/>
    <w:qFormat/>
    <w:uiPriority w:val="99"/>
    <w:rPr>
      <w:kern w:val="2"/>
      <w:sz w:val="18"/>
      <w:szCs w:val="18"/>
    </w:rPr>
  </w:style>
  <w:style w:type="character" w:customStyle="1" w:styleId="53">
    <w:name w:val="脚注文本 字符"/>
    <w:link w:val="19"/>
    <w:semiHidden/>
    <w:qFormat/>
    <w:uiPriority w:val="0"/>
    <w:rPr>
      <w:rFonts w:ascii="Calibri" w:hAnsi="Calibri"/>
      <w:kern w:val="2"/>
      <w:sz w:val="18"/>
      <w:szCs w:val="18"/>
    </w:rPr>
  </w:style>
  <w:style w:type="character" w:customStyle="1" w:styleId="54">
    <w:name w:val="HTML 预设格式 字符"/>
    <w:link w:val="21"/>
    <w:semiHidden/>
    <w:qFormat/>
    <w:uiPriority w:val="0"/>
    <w:rPr>
      <w:rFonts w:ascii="Courier New" w:hAnsi="Courier New"/>
      <w:kern w:val="2"/>
    </w:rPr>
  </w:style>
  <w:style w:type="character" w:customStyle="1" w:styleId="55">
    <w:name w:val="标题 字符"/>
    <w:link w:val="22"/>
    <w:qFormat/>
    <w:uiPriority w:val="0"/>
    <w:rPr>
      <w:rFonts w:ascii="Arial" w:hAnsi="Arial"/>
      <w:b/>
      <w:bCs/>
      <w:kern w:val="2"/>
      <w:sz w:val="32"/>
      <w:szCs w:val="32"/>
    </w:rPr>
  </w:style>
  <w:style w:type="character" w:customStyle="1" w:styleId="56">
    <w:name w:val="批注主题 字符"/>
    <w:link w:val="23"/>
    <w:semiHidden/>
    <w:qFormat/>
    <w:uiPriority w:val="99"/>
    <w:rPr>
      <w:b/>
      <w:bCs/>
      <w:kern w:val="2"/>
      <w:sz w:val="21"/>
      <w:szCs w:val="24"/>
    </w:rPr>
  </w:style>
  <w:style w:type="character" w:customStyle="1" w:styleId="57">
    <w:name w:val="批注框文本 字符"/>
    <w:semiHidden/>
    <w:qFormat/>
    <w:uiPriority w:val="0"/>
    <w:rPr>
      <w:kern w:val="2"/>
      <w:sz w:val="18"/>
      <w:szCs w:val="18"/>
    </w:rPr>
  </w:style>
  <w:style w:type="character" w:customStyle="1" w:styleId="58">
    <w:name w:val="black0001"/>
    <w:qFormat/>
    <w:uiPriority w:val="0"/>
    <w:rPr>
      <w:b/>
      <w:bCs/>
      <w:color w:val="000000"/>
      <w:sz w:val="16"/>
      <w:szCs w:val="16"/>
    </w:rPr>
  </w:style>
  <w:style w:type="character" w:customStyle="1" w:styleId="59">
    <w:name w:val="标题 6 Char"/>
    <w:semiHidden/>
    <w:qFormat/>
    <w:uiPriority w:val="9"/>
    <w:rPr>
      <w:rFonts w:ascii="Cambria" w:hAnsi="Cambria" w:eastAsia="宋体" w:cs="Times New Roman"/>
      <w:b/>
      <w:bCs/>
      <w:kern w:val="2"/>
      <w:sz w:val="24"/>
      <w:szCs w:val="24"/>
    </w:rPr>
  </w:style>
  <w:style w:type="character" w:customStyle="1" w:styleId="60">
    <w:name w:val="纯文本 字符1"/>
    <w:semiHidden/>
    <w:qFormat/>
    <w:uiPriority w:val="99"/>
    <w:rPr>
      <w:rFonts w:hint="eastAsia" w:ascii="等线" w:hAnsi="Courier New" w:eastAsia="等线" w:cs="Courier New"/>
      <w:kern w:val="2"/>
      <w:sz w:val="21"/>
      <w:szCs w:val="24"/>
    </w:rPr>
  </w:style>
  <w:style w:type="character" w:customStyle="1" w:styleId="61">
    <w:name w:val="页眉 字符1"/>
    <w:semiHidden/>
    <w:qFormat/>
    <w:uiPriority w:val="99"/>
    <w:rPr>
      <w:rFonts w:ascii="Calibri" w:hAnsi="Calibri" w:eastAsia="宋体" w:cs="Times New Roman"/>
      <w:sz w:val="18"/>
      <w:szCs w:val="18"/>
    </w:rPr>
  </w:style>
  <w:style w:type="character" w:customStyle="1" w:styleId="62">
    <w:name w:val="一级条标题 Char"/>
    <w:link w:val="63"/>
    <w:qFormat/>
    <w:uiPriority w:val="0"/>
    <w:rPr>
      <w:rFonts w:ascii="黑体" w:eastAsia="黑体"/>
    </w:rPr>
  </w:style>
  <w:style w:type="paragraph" w:customStyle="1" w:styleId="63">
    <w:name w:val="一级条标题"/>
    <w:basedOn w:val="1"/>
    <w:next w:val="1"/>
    <w:link w:val="62"/>
    <w:qFormat/>
    <w:uiPriority w:val="0"/>
    <w:pPr>
      <w:widowControl/>
      <w:tabs>
        <w:tab w:val="left" w:pos="2160"/>
      </w:tabs>
      <w:spacing w:line="360" w:lineRule="auto"/>
      <w:ind w:left="2160" w:hanging="720"/>
      <w:outlineLvl w:val="2"/>
    </w:pPr>
    <w:rPr>
      <w:rFonts w:ascii="黑体" w:eastAsia="黑体"/>
      <w:kern w:val="0"/>
      <w:sz w:val="20"/>
      <w:szCs w:val="20"/>
    </w:rPr>
  </w:style>
  <w:style w:type="character" w:customStyle="1" w:styleId="64">
    <w:name w:val="个人撰写风格"/>
    <w:qFormat/>
    <w:uiPriority w:val="0"/>
    <w:rPr>
      <w:rFonts w:hint="default" w:ascii="Arial" w:hAnsi="Arial" w:eastAsia="宋体" w:cs="Arial"/>
      <w:color w:val="auto"/>
      <w:sz w:val="20"/>
    </w:rPr>
  </w:style>
  <w:style w:type="character" w:customStyle="1" w:styleId="65">
    <w:name w:val="脚注文本 Char"/>
    <w:semiHidden/>
    <w:qFormat/>
    <w:uiPriority w:val="99"/>
    <w:rPr>
      <w:kern w:val="2"/>
      <w:sz w:val="18"/>
      <w:szCs w:val="18"/>
    </w:rPr>
  </w:style>
  <w:style w:type="character" w:customStyle="1" w:styleId="66">
    <w:name w:val="标题 9 Char"/>
    <w:semiHidden/>
    <w:qFormat/>
    <w:uiPriority w:val="9"/>
    <w:rPr>
      <w:rFonts w:ascii="Cambria" w:hAnsi="Cambria" w:eastAsia="宋体" w:cs="Times New Roman"/>
      <w:kern w:val="2"/>
      <w:sz w:val="21"/>
      <w:szCs w:val="21"/>
    </w:rPr>
  </w:style>
  <w:style w:type="character" w:customStyle="1" w:styleId="67">
    <w:name w:val="font61"/>
    <w:qFormat/>
    <w:uiPriority w:val="0"/>
    <w:rPr>
      <w:rFonts w:hint="eastAsia" w:ascii="宋体" w:hAnsi="宋体" w:eastAsia="宋体" w:cs="宋体"/>
      <w:b/>
      <w:color w:val="auto"/>
      <w:sz w:val="32"/>
      <w:szCs w:val="32"/>
      <w:u w:val="none"/>
    </w:rPr>
  </w:style>
  <w:style w:type="character" w:customStyle="1" w:styleId="68">
    <w:name w:val="HTML 预设格式 Char"/>
    <w:semiHidden/>
    <w:qFormat/>
    <w:uiPriority w:val="99"/>
    <w:rPr>
      <w:rFonts w:ascii="Courier New" w:hAnsi="Courier New" w:cs="Courier New"/>
      <w:kern w:val="2"/>
    </w:rPr>
  </w:style>
  <w:style w:type="character" w:customStyle="1" w:styleId="69">
    <w:name w:val="标题 4 Char"/>
    <w:semiHidden/>
    <w:uiPriority w:val="9"/>
    <w:rPr>
      <w:rFonts w:ascii="Cambria" w:hAnsi="Cambria" w:eastAsia="宋体" w:cs="Times New Roman"/>
      <w:b/>
      <w:bCs/>
      <w:kern w:val="2"/>
      <w:sz w:val="28"/>
      <w:szCs w:val="28"/>
    </w:rPr>
  </w:style>
  <w:style w:type="character" w:customStyle="1" w:styleId="70">
    <w:name w:val="标题 1 Char"/>
    <w:uiPriority w:val="9"/>
    <w:rPr>
      <w:b/>
      <w:bCs/>
      <w:kern w:val="44"/>
      <w:sz w:val="44"/>
      <w:szCs w:val="44"/>
    </w:rPr>
  </w:style>
  <w:style w:type="character" w:customStyle="1" w:styleId="71">
    <w:name w:val="font71"/>
    <w:qFormat/>
    <w:uiPriority w:val="0"/>
    <w:rPr>
      <w:rFonts w:hint="eastAsia" w:ascii="宋体" w:hAnsi="宋体" w:eastAsia="宋体" w:cs="宋体"/>
      <w:color w:val="auto"/>
      <w:sz w:val="28"/>
      <w:szCs w:val="28"/>
      <w:u w:val="none"/>
    </w:rPr>
  </w:style>
  <w:style w:type="character" w:customStyle="1" w:styleId="72">
    <w:name w:val="标题 5 Char"/>
    <w:semiHidden/>
    <w:qFormat/>
    <w:uiPriority w:val="9"/>
    <w:rPr>
      <w:b/>
      <w:bCs/>
      <w:kern w:val="2"/>
      <w:sz w:val="28"/>
      <w:szCs w:val="28"/>
    </w:rPr>
  </w:style>
  <w:style w:type="character" w:customStyle="1" w:styleId="73">
    <w:name w:val="HTML 地址 Char"/>
    <w:semiHidden/>
    <w:qFormat/>
    <w:uiPriority w:val="99"/>
    <w:rPr>
      <w:i/>
      <w:iCs/>
      <w:kern w:val="2"/>
      <w:sz w:val="21"/>
      <w:szCs w:val="24"/>
    </w:rPr>
  </w:style>
  <w:style w:type="character" w:customStyle="1" w:styleId="74">
    <w:name w:val="页眉 字符"/>
    <w:semiHidden/>
    <w:qFormat/>
    <w:uiPriority w:val="0"/>
    <w:rPr>
      <w:kern w:val="2"/>
      <w:sz w:val="18"/>
      <w:szCs w:val="18"/>
    </w:rPr>
  </w:style>
  <w:style w:type="character" w:customStyle="1" w:styleId="75">
    <w:name w:val="font51"/>
    <w:qFormat/>
    <w:uiPriority w:val="0"/>
    <w:rPr>
      <w:rFonts w:hint="eastAsia" w:ascii="宋体" w:hAnsi="宋体" w:eastAsia="宋体" w:cs="宋体"/>
      <w:color w:val="auto"/>
      <w:sz w:val="24"/>
      <w:szCs w:val="24"/>
      <w:u w:val="none"/>
    </w:rPr>
  </w:style>
  <w:style w:type="character" w:customStyle="1" w:styleId="76">
    <w:name w:val="标题 8 Char"/>
    <w:semiHidden/>
    <w:uiPriority w:val="9"/>
    <w:rPr>
      <w:rFonts w:ascii="Cambria" w:hAnsi="Cambria" w:eastAsia="宋体" w:cs="Times New Roman"/>
      <w:kern w:val="2"/>
      <w:sz w:val="24"/>
      <w:szCs w:val="24"/>
    </w:rPr>
  </w:style>
  <w:style w:type="character" w:customStyle="1" w:styleId="77">
    <w:name w:val="font81"/>
    <w:uiPriority w:val="0"/>
    <w:rPr>
      <w:rFonts w:hint="eastAsia" w:ascii="宋体" w:hAnsi="宋体" w:eastAsia="宋体" w:cs="宋体"/>
      <w:b/>
      <w:color w:val="auto"/>
      <w:sz w:val="32"/>
      <w:szCs w:val="32"/>
      <w:u w:val="none"/>
    </w:rPr>
  </w:style>
  <w:style w:type="character" w:customStyle="1" w:styleId="78">
    <w:name w:val="发布"/>
    <w:uiPriority w:val="0"/>
    <w:rPr>
      <w:rFonts w:hint="eastAsia" w:ascii="黑体" w:hAnsi="黑体" w:eastAsia="黑体"/>
      <w:spacing w:val="22"/>
      <w:w w:val="100"/>
      <w:position w:val="3"/>
      <w:sz w:val="28"/>
    </w:rPr>
  </w:style>
  <w:style w:type="character" w:customStyle="1" w:styleId="79">
    <w:name w:val="页脚 字符"/>
    <w:uiPriority w:val="0"/>
    <w:rPr>
      <w:rFonts w:ascii="Calibri" w:hAnsi="Calibri" w:eastAsia="宋体" w:cs="Times New Roman"/>
      <w:sz w:val="18"/>
      <w:szCs w:val="18"/>
    </w:rPr>
  </w:style>
  <w:style w:type="character" w:customStyle="1" w:styleId="80">
    <w:name w:val="批注文字 字符"/>
    <w:semiHidden/>
    <w:uiPriority w:val="0"/>
    <w:rPr>
      <w:rFonts w:ascii="Calibri" w:hAnsi="Calibri"/>
      <w:kern w:val="2"/>
      <w:sz w:val="21"/>
      <w:szCs w:val="24"/>
    </w:rPr>
  </w:style>
  <w:style w:type="character" w:customStyle="1" w:styleId="81">
    <w:name w:val="批注文字 Char"/>
    <w:semiHidden/>
    <w:uiPriority w:val="99"/>
    <w:rPr>
      <w:kern w:val="2"/>
      <w:sz w:val="21"/>
      <w:szCs w:val="24"/>
    </w:rPr>
  </w:style>
  <w:style w:type="character" w:customStyle="1" w:styleId="82">
    <w:name w:val="标题 Char"/>
    <w:uiPriority w:val="10"/>
    <w:rPr>
      <w:rFonts w:ascii="Cambria" w:hAnsi="Cambria" w:cs="Times New Roman"/>
      <w:b/>
      <w:bCs/>
      <w:kern w:val="2"/>
      <w:sz w:val="32"/>
      <w:szCs w:val="32"/>
    </w:rPr>
  </w:style>
  <w:style w:type="character" w:customStyle="1" w:styleId="83">
    <w:name w:val="标题 2 Char"/>
    <w:semiHidden/>
    <w:uiPriority w:val="9"/>
    <w:rPr>
      <w:rFonts w:ascii="Cambria" w:hAnsi="Cambria" w:eastAsia="宋体" w:cs="Times New Roman"/>
      <w:b/>
      <w:bCs/>
      <w:kern w:val="2"/>
      <w:sz w:val="32"/>
      <w:szCs w:val="32"/>
    </w:rPr>
  </w:style>
  <w:style w:type="character" w:customStyle="1" w:styleId="84">
    <w:name w:val="日期 字符"/>
    <w:semiHidden/>
    <w:uiPriority w:val="0"/>
    <w:rPr>
      <w:rFonts w:ascii="Calibri" w:hAnsi="Calibri"/>
      <w:kern w:val="2"/>
      <w:sz w:val="21"/>
      <w:szCs w:val="24"/>
    </w:rPr>
  </w:style>
  <w:style w:type="character" w:customStyle="1" w:styleId="85">
    <w:name w:val="正文文本缩进 2 Char"/>
    <w:semiHidden/>
    <w:uiPriority w:val="99"/>
    <w:rPr>
      <w:kern w:val="2"/>
      <w:sz w:val="21"/>
      <w:szCs w:val="24"/>
    </w:rPr>
  </w:style>
  <w:style w:type="character" w:customStyle="1" w:styleId="86">
    <w:name w:val="纯文本 Char"/>
    <w:semiHidden/>
    <w:uiPriority w:val="99"/>
    <w:rPr>
      <w:rFonts w:ascii="宋体" w:hAnsi="Courier New" w:cs="Courier New"/>
      <w:kern w:val="2"/>
      <w:sz w:val="21"/>
      <w:szCs w:val="21"/>
    </w:rPr>
  </w:style>
  <w:style w:type="character" w:customStyle="1" w:styleId="87">
    <w:name w:val="标题 7 Char"/>
    <w:semiHidden/>
    <w:uiPriority w:val="9"/>
    <w:rPr>
      <w:b/>
      <w:bCs/>
      <w:kern w:val="2"/>
      <w:sz w:val="24"/>
      <w:szCs w:val="24"/>
    </w:rPr>
  </w:style>
  <w:style w:type="character" w:customStyle="1" w:styleId="88">
    <w:name w:val="个人答复风格"/>
    <w:uiPriority w:val="0"/>
    <w:rPr>
      <w:rFonts w:hint="default" w:ascii="Arial" w:hAnsi="Arial" w:eastAsia="宋体" w:cs="Arial"/>
      <w:color w:val="auto"/>
      <w:sz w:val="20"/>
    </w:rPr>
  </w:style>
  <w:style w:type="paragraph" w:customStyle="1" w:styleId="89">
    <w:name w:val="附录四级条标题"/>
    <w:basedOn w:val="90"/>
    <w:next w:val="94"/>
    <w:uiPriority w:val="0"/>
    <w:pPr>
      <w:numPr>
        <w:ilvl w:val="5"/>
        <w:numId w:val="1"/>
      </w:numPr>
      <w:outlineLvl w:val="5"/>
    </w:pPr>
  </w:style>
  <w:style w:type="paragraph" w:customStyle="1" w:styleId="90">
    <w:name w:val="附录三级条标题"/>
    <w:basedOn w:val="91"/>
    <w:next w:val="94"/>
    <w:uiPriority w:val="0"/>
    <w:pPr>
      <w:numPr>
        <w:ilvl w:val="4"/>
        <w:numId w:val="1"/>
      </w:numPr>
      <w:outlineLvl w:val="4"/>
    </w:pPr>
  </w:style>
  <w:style w:type="paragraph" w:customStyle="1" w:styleId="91">
    <w:name w:val="附录二级条标题"/>
    <w:basedOn w:val="92"/>
    <w:next w:val="94"/>
    <w:uiPriority w:val="0"/>
    <w:pPr>
      <w:numPr>
        <w:ilvl w:val="3"/>
        <w:numId w:val="1"/>
      </w:numPr>
      <w:outlineLvl w:val="3"/>
    </w:pPr>
  </w:style>
  <w:style w:type="paragraph" w:customStyle="1" w:styleId="92">
    <w:name w:val="附录一级条标题"/>
    <w:basedOn w:val="93"/>
    <w:next w:val="94"/>
    <w:uiPriority w:val="0"/>
    <w:pPr>
      <w:numPr>
        <w:ilvl w:val="2"/>
        <w:numId w:val="1"/>
      </w:numPr>
      <w:autoSpaceDN w:val="0"/>
      <w:spacing w:beforeLines="0" w:afterLines="0"/>
      <w:outlineLvl w:val="2"/>
    </w:pPr>
  </w:style>
  <w:style w:type="paragraph" w:customStyle="1" w:styleId="93">
    <w:name w:val="附录章标题"/>
    <w:next w:val="94"/>
    <w:uiPriority w:val="0"/>
    <w:pPr>
      <w:numPr>
        <w:ilvl w:val="1"/>
        <w:numId w:val="1"/>
      </w:numPr>
      <w:wordWrap w:val="0"/>
      <w:overflowPunct w:val="0"/>
      <w:autoSpaceDE w:val="0"/>
      <w:spacing w:beforeLines="50" w:afterLines="50"/>
      <w:jc w:val="both"/>
      <w:outlineLvl w:val="1"/>
    </w:pPr>
    <w:rPr>
      <w:rFonts w:ascii="黑体" w:hAnsi="Calibri" w:eastAsia="黑体" w:cs="Times New Roman"/>
      <w:kern w:val="21"/>
      <w:sz w:val="21"/>
      <w:lang w:val="en-US" w:eastAsia="zh-CN" w:bidi="ar-SA"/>
    </w:rPr>
  </w:style>
  <w:style w:type="paragraph" w:customStyle="1" w:styleId="94">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95">
    <w:name w:val="列项◆（三级）"/>
    <w:uiPriority w:val="0"/>
    <w:pPr>
      <w:numPr>
        <w:ilvl w:val="0"/>
        <w:numId w:val="2"/>
      </w:numPr>
      <w:tabs>
        <w:tab w:val="left" w:pos="960"/>
      </w:tabs>
      <w:ind w:left="800" w:leftChars="600" w:hanging="200" w:hangingChars="200"/>
    </w:pPr>
    <w:rPr>
      <w:rFonts w:ascii="宋体" w:hAnsi="Calibri" w:eastAsia="宋体" w:cs="Times New Roman"/>
      <w:sz w:val="21"/>
      <w:lang w:val="en-US" w:eastAsia="zh-CN" w:bidi="ar-SA"/>
    </w:rPr>
  </w:style>
  <w:style w:type="paragraph" w:customStyle="1" w:styleId="96">
    <w:name w:val="标准标志"/>
    <w:next w:val="1"/>
    <w:uiPriority w:val="0"/>
    <w:pPr>
      <w:shd w:val="solid" w:color="FFFFFF" w:fill="FFFFFF"/>
      <w:spacing w:line="0" w:lineRule="atLeast"/>
      <w:jc w:val="right"/>
    </w:pPr>
    <w:rPr>
      <w:rFonts w:ascii="Calibri" w:hAnsi="Calibri" w:eastAsia="宋体" w:cs="Times New Roman"/>
      <w:b/>
      <w:w w:val="130"/>
      <w:sz w:val="96"/>
      <w:lang w:val="en-US" w:eastAsia="zh-CN" w:bidi="ar-SA"/>
    </w:rPr>
  </w:style>
  <w:style w:type="paragraph" w:customStyle="1" w:styleId="97">
    <w:name w:val="_Style 24"/>
    <w:basedOn w:val="1"/>
    <w:next w:val="1"/>
    <w:unhideWhenUsed/>
    <w:uiPriority w:val="39"/>
    <w:pPr>
      <w:ind w:left="3360" w:leftChars="1600"/>
    </w:pPr>
    <w:rPr>
      <w:rFonts w:ascii="Calibri" w:hAnsi="Calibri"/>
    </w:rPr>
  </w:style>
  <w:style w:type="paragraph" w:customStyle="1" w:styleId="98">
    <w:name w:val="实施日期"/>
    <w:basedOn w:val="99"/>
    <w:uiPriority w:val="0"/>
    <w:pPr>
      <w:numPr>
        <w:ilvl w:val="4"/>
        <w:numId w:val="3"/>
      </w:numPr>
      <w:jc w:val="right"/>
    </w:pPr>
  </w:style>
  <w:style w:type="paragraph" w:customStyle="1" w:styleId="99">
    <w:name w:val="发布日期"/>
    <w:uiPriority w:val="0"/>
    <w:rPr>
      <w:rFonts w:ascii="Calibri" w:hAnsi="Calibri" w:eastAsia="黑体" w:cs="Times New Roman"/>
      <w:sz w:val="28"/>
      <w:lang w:val="en-US" w:eastAsia="zh-CN" w:bidi="ar-SA"/>
    </w:rPr>
  </w:style>
  <w:style w:type="paragraph" w:customStyle="1" w:styleId="100">
    <w:name w:val="目次、标准名称标题"/>
    <w:basedOn w:val="101"/>
    <w:next w:val="94"/>
    <w:uiPriority w:val="0"/>
    <w:pPr>
      <w:numPr>
        <w:ilvl w:val="0"/>
        <w:numId w:val="0"/>
      </w:numPr>
      <w:tabs>
        <w:tab w:val="left" w:pos="420"/>
      </w:tabs>
      <w:spacing w:line="460" w:lineRule="exact"/>
    </w:pPr>
  </w:style>
  <w:style w:type="paragraph" w:customStyle="1" w:styleId="101">
    <w:name w:val="前言、引言标题"/>
    <w:next w:val="1"/>
    <w:uiPriority w:val="0"/>
    <w:pPr>
      <w:numPr>
        <w:ilvl w:val="0"/>
        <w:numId w:val="3"/>
      </w:numPr>
      <w:shd w:val="clear" w:color="auto" w:fill="FFFFFF"/>
      <w:spacing w:before="640" w:after="560"/>
      <w:jc w:val="center"/>
      <w:outlineLvl w:val="0"/>
    </w:pPr>
    <w:rPr>
      <w:rFonts w:ascii="黑体" w:hAnsi="Calibri" w:eastAsia="黑体" w:cs="Times New Roman"/>
      <w:sz w:val="32"/>
      <w:lang w:val="en-US" w:eastAsia="zh-CN" w:bidi="ar-SA"/>
    </w:rPr>
  </w:style>
  <w:style w:type="paragraph" w:customStyle="1" w:styleId="102">
    <w:name w:val="正文表标题"/>
    <w:next w:val="94"/>
    <w:uiPriority w:val="0"/>
    <w:pPr>
      <w:numPr>
        <w:ilvl w:val="0"/>
        <w:numId w:val="4"/>
      </w:numPr>
      <w:jc w:val="center"/>
    </w:pPr>
    <w:rPr>
      <w:rFonts w:ascii="黑体" w:hAnsi="Calibri" w:eastAsia="黑体" w:cs="Times New Roman"/>
      <w:sz w:val="21"/>
      <w:lang w:val="en-US" w:eastAsia="zh-CN" w:bidi="ar-SA"/>
    </w:rPr>
  </w:style>
  <w:style w:type="paragraph" w:customStyle="1" w:styleId="103">
    <w:name w:val="正文图标题"/>
    <w:next w:val="94"/>
    <w:uiPriority w:val="0"/>
    <w:pPr>
      <w:numPr>
        <w:ilvl w:val="0"/>
        <w:numId w:val="5"/>
      </w:numPr>
      <w:jc w:val="center"/>
    </w:pPr>
    <w:rPr>
      <w:rFonts w:ascii="黑体" w:hAnsi="Calibri" w:eastAsia="黑体" w:cs="Times New Roman"/>
      <w:sz w:val="21"/>
      <w:lang w:val="en-US" w:eastAsia="zh-CN" w:bidi="ar-SA"/>
    </w:rPr>
  </w:style>
  <w:style w:type="paragraph" w:customStyle="1" w:styleId="104">
    <w:name w:val="msonormal"/>
    <w:basedOn w:val="1"/>
    <w:uiPriority w:val="0"/>
    <w:pPr>
      <w:widowControl/>
      <w:spacing w:before="100" w:beforeAutospacing="1" w:after="100" w:afterAutospacing="1"/>
      <w:jc w:val="left"/>
    </w:pPr>
    <w:rPr>
      <w:rFonts w:ascii="宋体" w:hAnsi="宋体" w:cs="宋体"/>
      <w:kern w:val="0"/>
      <w:sz w:val="24"/>
    </w:rPr>
  </w:style>
  <w:style w:type="paragraph" w:customStyle="1" w:styleId="105">
    <w:name w:val="四级条标题"/>
    <w:basedOn w:val="106"/>
    <w:next w:val="94"/>
    <w:uiPriority w:val="0"/>
    <w:pPr>
      <w:numPr>
        <w:ilvl w:val="5"/>
        <w:numId w:val="3"/>
      </w:numPr>
      <w:tabs>
        <w:tab w:val="left" w:pos="1680"/>
        <w:tab w:val="left" w:pos="2100"/>
      </w:tabs>
      <w:outlineLvl w:val="5"/>
    </w:pPr>
  </w:style>
  <w:style w:type="paragraph" w:customStyle="1" w:styleId="106">
    <w:name w:val="三级条标题"/>
    <w:basedOn w:val="107"/>
    <w:next w:val="94"/>
    <w:uiPriority w:val="0"/>
    <w:pPr>
      <w:numPr>
        <w:ilvl w:val="4"/>
        <w:numId w:val="3"/>
      </w:numPr>
      <w:tabs>
        <w:tab w:val="left" w:pos="1680"/>
      </w:tabs>
      <w:outlineLvl w:val="4"/>
    </w:pPr>
  </w:style>
  <w:style w:type="paragraph" w:customStyle="1" w:styleId="107">
    <w:name w:val="二级条标题"/>
    <w:basedOn w:val="63"/>
    <w:next w:val="94"/>
    <w:uiPriority w:val="0"/>
    <w:pPr>
      <w:numPr>
        <w:ilvl w:val="3"/>
        <w:numId w:val="3"/>
      </w:numPr>
      <w:tabs>
        <w:tab w:val="clear" w:pos="2160"/>
      </w:tabs>
      <w:spacing w:line="240" w:lineRule="auto"/>
      <w:jc w:val="left"/>
      <w:outlineLvl w:val="3"/>
    </w:pPr>
    <w:rPr>
      <w:rFonts w:ascii="Calibri" w:hAnsi="Calibri"/>
      <w:sz w:val="21"/>
      <w:lang w:val="en-US" w:eastAsia="zh-CN"/>
    </w:rPr>
  </w:style>
  <w:style w:type="paragraph" w:customStyle="1" w:styleId="108">
    <w:name w:val="封面标准文稿编辑信息"/>
    <w:uiPriority w:val="0"/>
    <w:pPr>
      <w:spacing w:before="180" w:line="180" w:lineRule="exact"/>
      <w:jc w:val="center"/>
    </w:pPr>
    <w:rPr>
      <w:rFonts w:ascii="宋体" w:hAnsi="Calibri" w:eastAsia="宋体" w:cs="Times New Roman"/>
      <w:sz w:val="21"/>
      <w:lang w:val="en-US" w:eastAsia="zh-CN" w:bidi="ar-SA"/>
    </w:rPr>
  </w:style>
  <w:style w:type="paragraph" w:customStyle="1" w:styleId="109">
    <w:name w:val="标准书眉_奇数页"/>
    <w:next w:val="1"/>
    <w:uiPriority w:val="0"/>
    <w:pPr>
      <w:tabs>
        <w:tab w:val="center" w:pos="4154"/>
        <w:tab w:val="right" w:pos="8306"/>
      </w:tabs>
      <w:spacing w:after="120"/>
      <w:jc w:val="right"/>
    </w:pPr>
    <w:rPr>
      <w:rFonts w:ascii="Calibri" w:hAnsi="Calibri" w:eastAsia="宋体" w:cs="Times New Roman"/>
      <w:sz w:val="21"/>
      <w:lang w:val="en-US" w:eastAsia="zh-CN" w:bidi="ar-SA"/>
    </w:rPr>
  </w:style>
  <w:style w:type="paragraph" w:customStyle="1" w:styleId="110">
    <w:name w:val="参考文献、索引标题"/>
    <w:basedOn w:val="101"/>
    <w:next w:val="1"/>
    <w:uiPriority w:val="0"/>
    <w:pPr>
      <w:numPr>
        <w:ilvl w:val="0"/>
        <w:numId w:val="0"/>
      </w:numPr>
      <w:spacing w:after="200"/>
    </w:pPr>
    <w:rPr>
      <w:sz w:val="21"/>
    </w:rPr>
  </w:style>
  <w:style w:type="paragraph" w:customStyle="1" w:styleId="111">
    <w:name w:val="封面正文"/>
    <w:uiPriority w:val="0"/>
    <w:pPr>
      <w:jc w:val="both"/>
    </w:pPr>
    <w:rPr>
      <w:rFonts w:ascii="Calibri" w:hAnsi="Calibri" w:eastAsia="宋体" w:cs="Times New Roman"/>
      <w:lang w:val="en-US" w:eastAsia="zh-CN" w:bidi="ar-SA"/>
    </w:rPr>
  </w:style>
  <w:style w:type="paragraph" w:customStyle="1" w:styleId="112">
    <w:name w:val="段 + (符号) 宋体"/>
    <w:basedOn w:val="94"/>
    <w:uiPriority w:val="0"/>
    <w:pPr>
      <w:ind w:firstLine="735" w:firstLineChars="350"/>
    </w:pPr>
  </w:style>
  <w:style w:type="paragraph" w:customStyle="1" w:styleId="113">
    <w:name w:val="字母编号列项（一级）"/>
    <w:uiPriority w:val="0"/>
    <w:pPr>
      <w:ind w:left="840" w:leftChars="200" w:hanging="420" w:hangingChars="200"/>
      <w:jc w:val="both"/>
    </w:pPr>
    <w:rPr>
      <w:rFonts w:ascii="宋体" w:hAnsi="Calibri" w:eastAsia="宋体" w:cs="Times New Roman"/>
      <w:sz w:val="21"/>
      <w:lang w:val="en-US" w:eastAsia="zh-CN" w:bidi="ar-SA"/>
    </w:rPr>
  </w:style>
  <w:style w:type="paragraph" w:customStyle="1" w:styleId="114">
    <w:name w:val="条文脚注"/>
    <w:basedOn w:val="19"/>
    <w:uiPriority w:val="0"/>
    <w:pPr>
      <w:ind w:left="780" w:leftChars="200" w:hanging="360" w:hangingChars="200"/>
      <w:jc w:val="both"/>
    </w:pPr>
    <w:rPr>
      <w:rFonts w:ascii="宋体"/>
    </w:rPr>
  </w:style>
  <w:style w:type="paragraph" w:customStyle="1" w:styleId="115">
    <w:name w:val="列项——（一级）"/>
    <w:uiPriority w:val="0"/>
    <w:pPr>
      <w:widowControl w:val="0"/>
      <w:numPr>
        <w:ilvl w:val="0"/>
        <w:numId w:val="6"/>
      </w:numPr>
      <w:tabs>
        <w:tab w:val="left" w:pos="854"/>
      </w:tabs>
      <w:ind w:leftChars="200" w:hangingChars="200"/>
      <w:jc w:val="both"/>
    </w:pPr>
    <w:rPr>
      <w:rFonts w:ascii="宋体" w:hAnsi="Calibri" w:eastAsia="宋体" w:cs="Times New Roman"/>
      <w:sz w:val="21"/>
      <w:lang w:val="en-US" w:eastAsia="zh-CN" w:bidi="ar-SA"/>
    </w:rPr>
  </w:style>
  <w:style w:type="paragraph" w:customStyle="1" w:styleId="116">
    <w:name w:val="示例"/>
    <w:next w:val="94"/>
    <w:uiPriority w:val="0"/>
    <w:pPr>
      <w:numPr>
        <w:ilvl w:val="0"/>
        <w:numId w:val="7"/>
      </w:numPr>
      <w:tabs>
        <w:tab w:val="left" w:pos="816"/>
      </w:tabs>
      <w:ind w:firstLine="419" w:firstLineChars="233"/>
      <w:jc w:val="both"/>
    </w:pPr>
    <w:rPr>
      <w:rFonts w:ascii="宋体" w:hAnsi="Calibri" w:eastAsia="宋体" w:cs="Times New Roman"/>
      <w:sz w:val="18"/>
      <w:lang w:val="en-US" w:eastAsia="zh-CN" w:bidi="ar-SA"/>
    </w:rPr>
  </w:style>
  <w:style w:type="paragraph" w:customStyle="1" w:styleId="117">
    <w:name w:val="五级条标题"/>
    <w:basedOn w:val="105"/>
    <w:next w:val="94"/>
    <w:uiPriority w:val="0"/>
    <w:pPr>
      <w:numPr>
        <w:ilvl w:val="6"/>
        <w:numId w:val="3"/>
      </w:numPr>
      <w:outlineLvl w:val="6"/>
    </w:pPr>
  </w:style>
  <w:style w:type="paragraph" w:customStyle="1" w:styleId="118">
    <w:name w:val="数字编号列项（二级）"/>
    <w:uiPriority w:val="0"/>
    <w:pPr>
      <w:ind w:left="1260" w:leftChars="400" w:hanging="420" w:hangingChars="200"/>
      <w:jc w:val="both"/>
    </w:pPr>
    <w:rPr>
      <w:rFonts w:ascii="宋体" w:hAnsi="Calibri" w:eastAsia="宋体" w:cs="Times New Roman"/>
      <w:sz w:val="21"/>
      <w:lang w:val="en-US" w:eastAsia="zh-CN" w:bidi="ar-SA"/>
    </w:rPr>
  </w:style>
  <w:style w:type="paragraph" w:customStyle="1" w:styleId="119">
    <w:name w:val="注："/>
    <w:next w:val="94"/>
    <w:uiPriority w:val="0"/>
    <w:pPr>
      <w:widowControl w:val="0"/>
      <w:numPr>
        <w:ilvl w:val="0"/>
        <w:numId w:val="8"/>
      </w:numPr>
      <w:autoSpaceDE w:val="0"/>
      <w:autoSpaceDN w:val="0"/>
      <w:jc w:val="both"/>
    </w:pPr>
    <w:rPr>
      <w:rFonts w:ascii="宋体" w:hAnsi="Calibri" w:eastAsia="宋体" w:cs="Times New Roman"/>
      <w:sz w:val="18"/>
      <w:lang w:val="en-US" w:eastAsia="zh-CN" w:bidi="ar-SA"/>
    </w:rPr>
  </w:style>
  <w:style w:type="paragraph" w:customStyle="1" w:styleId="120">
    <w:name w:val="文献分类号"/>
    <w:uiPriority w:val="0"/>
    <w:pPr>
      <w:widowControl w:val="0"/>
    </w:pPr>
    <w:rPr>
      <w:rFonts w:ascii="Calibri" w:hAnsi="Calibri" w:eastAsia="黑体" w:cs="Times New Roman"/>
      <w:sz w:val="21"/>
      <w:lang w:val="en-US" w:eastAsia="zh-CN" w:bidi="ar-SA"/>
    </w:rPr>
  </w:style>
  <w:style w:type="paragraph" w:customStyle="1" w:styleId="121">
    <w:name w:val="附录标识"/>
    <w:basedOn w:val="101"/>
    <w:uiPriority w:val="0"/>
    <w:pPr>
      <w:numPr>
        <w:ilvl w:val="0"/>
        <w:numId w:val="1"/>
      </w:numPr>
      <w:tabs>
        <w:tab w:val="left" w:pos="6405"/>
      </w:tabs>
      <w:spacing w:after="200"/>
    </w:pPr>
    <w:rPr>
      <w:sz w:val="21"/>
    </w:rPr>
  </w:style>
  <w:style w:type="paragraph" w:customStyle="1" w:styleId="122">
    <w:name w:val="标准书眉一"/>
    <w:uiPriority w:val="0"/>
    <w:pPr>
      <w:jc w:val="both"/>
    </w:pPr>
    <w:rPr>
      <w:rFonts w:ascii="Calibri" w:hAnsi="Calibri" w:eastAsia="宋体" w:cs="Times New Roman"/>
      <w:lang w:val="en-US" w:eastAsia="zh-CN" w:bidi="ar-SA"/>
    </w:rPr>
  </w:style>
  <w:style w:type="paragraph" w:customStyle="1" w:styleId="123">
    <w:name w:val="图表脚注"/>
    <w:next w:val="94"/>
    <w:qFormat/>
    <w:uiPriority w:val="0"/>
    <w:pPr>
      <w:numPr>
        <w:ilvl w:val="5"/>
        <w:numId w:val="3"/>
      </w:numPr>
      <w:jc w:val="both"/>
    </w:pPr>
    <w:rPr>
      <w:rFonts w:ascii="宋体" w:hAnsi="Calibri" w:eastAsia="宋体" w:cs="Times New Roman"/>
      <w:sz w:val="18"/>
      <w:lang w:val="en-US" w:eastAsia="zh-CN" w:bidi="ar-SA"/>
    </w:rPr>
  </w:style>
  <w:style w:type="paragraph" w:customStyle="1" w:styleId="124">
    <w:name w:val="封面标准英文名称"/>
    <w:uiPriority w:val="0"/>
    <w:pPr>
      <w:widowControl w:val="0"/>
      <w:spacing w:before="370" w:line="400" w:lineRule="exact"/>
      <w:jc w:val="center"/>
    </w:pPr>
    <w:rPr>
      <w:rFonts w:ascii="Calibri" w:hAnsi="Calibri" w:eastAsia="宋体" w:cs="Times New Roman"/>
      <w:sz w:val="28"/>
      <w:lang w:val="en-US" w:eastAsia="zh-CN" w:bidi="ar-SA"/>
    </w:rPr>
  </w:style>
  <w:style w:type="paragraph" w:customStyle="1" w:styleId="125">
    <w:name w:val="附录图标题"/>
    <w:next w:val="94"/>
    <w:uiPriority w:val="0"/>
    <w:pPr>
      <w:numPr>
        <w:ilvl w:val="0"/>
        <w:numId w:val="9"/>
      </w:numPr>
      <w:tabs>
        <w:tab w:val="left" w:pos="360"/>
      </w:tabs>
      <w:jc w:val="center"/>
    </w:pPr>
    <w:rPr>
      <w:rFonts w:ascii="黑体" w:hAnsi="Calibri" w:eastAsia="黑体" w:cs="Times New Roman"/>
      <w:sz w:val="21"/>
      <w:lang w:val="en-US" w:eastAsia="zh-CN" w:bidi="ar-SA"/>
    </w:rPr>
  </w:style>
  <w:style w:type="paragraph" w:customStyle="1" w:styleId="126">
    <w:name w:val="编号列项（三级）"/>
    <w:qFormat/>
    <w:uiPriority w:val="0"/>
    <w:pPr>
      <w:ind w:left="800" w:leftChars="600" w:hanging="200" w:hangingChars="200"/>
    </w:pPr>
    <w:rPr>
      <w:rFonts w:ascii="宋体" w:hAnsi="Calibri" w:eastAsia="宋体" w:cs="Times New Roman"/>
      <w:sz w:val="21"/>
      <w:lang w:val="en-US" w:eastAsia="zh-CN" w:bidi="ar-SA"/>
    </w:rPr>
  </w:style>
  <w:style w:type="paragraph" w:customStyle="1" w:styleId="127">
    <w:name w:val="标准书眉_偶数页"/>
    <w:basedOn w:val="109"/>
    <w:next w:val="1"/>
    <w:uiPriority w:val="0"/>
    <w:pPr>
      <w:jc w:val="left"/>
    </w:pPr>
  </w:style>
  <w:style w:type="paragraph" w:customStyle="1" w:styleId="128">
    <w:name w:val="列项●（二级）"/>
    <w:uiPriority w:val="0"/>
    <w:pPr>
      <w:numPr>
        <w:ilvl w:val="0"/>
        <w:numId w:val="10"/>
      </w:numPr>
      <w:tabs>
        <w:tab w:val="left" w:pos="760"/>
        <w:tab w:val="left" w:pos="840"/>
      </w:tabs>
      <w:ind w:left="600" w:leftChars="400" w:hanging="200" w:hangingChars="200"/>
      <w:jc w:val="both"/>
    </w:pPr>
    <w:rPr>
      <w:rFonts w:ascii="宋体" w:hAnsi="Calibri" w:eastAsia="宋体" w:cs="Times New Roman"/>
      <w:sz w:val="21"/>
      <w:lang w:val="en-US" w:eastAsia="zh-CN" w:bidi="ar-SA"/>
    </w:rPr>
  </w:style>
  <w:style w:type="paragraph" w:customStyle="1" w:styleId="129">
    <w:name w:val="肥料正文"/>
    <w:basedOn w:val="1"/>
    <w:uiPriority w:val="0"/>
    <w:pPr>
      <w:adjustRightInd w:val="0"/>
      <w:snapToGrid w:val="0"/>
      <w:spacing w:line="317" w:lineRule="auto"/>
      <w:ind w:firstLine="200" w:firstLineChars="200"/>
    </w:pPr>
    <w:rPr>
      <w:rFonts w:eastAsia="汉鼎简书宋二"/>
      <w:snapToGrid w:val="0"/>
      <w:spacing w:val="2"/>
      <w:kern w:val="0"/>
      <w:sz w:val="22"/>
    </w:rPr>
  </w:style>
  <w:style w:type="paragraph" w:customStyle="1" w:styleId="130">
    <w:name w:val="封面一致性程度标识"/>
    <w:uiPriority w:val="0"/>
    <w:pPr>
      <w:spacing w:before="440" w:line="400" w:lineRule="exact"/>
      <w:jc w:val="center"/>
    </w:pPr>
    <w:rPr>
      <w:rFonts w:ascii="宋体" w:hAnsi="Calibri" w:eastAsia="宋体" w:cs="Times New Roman"/>
      <w:sz w:val="28"/>
      <w:lang w:val="en-US" w:eastAsia="zh-CN" w:bidi="ar-SA"/>
    </w:rPr>
  </w:style>
  <w:style w:type="paragraph" w:styleId="131">
    <w:name w:val="List Paragraph"/>
    <w:basedOn w:val="1"/>
    <w:qFormat/>
    <w:uiPriority w:val="34"/>
    <w:pPr>
      <w:ind w:firstLine="420" w:firstLineChars="200"/>
    </w:pPr>
    <w:rPr>
      <w:rFonts w:ascii="Calibri" w:hAnsi="Calibri"/>
      <w:szCs w:val="22"/>
    </w:rPr>
  </w:style>
  <w:style w:type="paragraph" w:customStyle="1" w:styleId="132">
    <w:name w:val="标准书脚_偶数页"/>
    <w:uiPriority w:val="0"/>
    <w:pPr>
      <w:spacing w:before="120"/>
    </w:pPr>
    <w:rPr>
      <w:rFonts w:ascii="Calibri" w:hAnsi="Calibri" w:eastAsia="宋体" w:cs="Times New Roman"/>
      <w:sz w:val="18"/>
      <w:lang w:val="en-US" w:eastAsia="zh-CN" w:bidi="ar-SA"/>
    </w:rPr>
  </w:style>
  <w:style w:type="paragraph" w:customStyle="1" w:styleId="133">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34">
    <w:name w:val="封面标准文稿类别"/>
    <w:uiPriority w:val="0"/>
    <w:pPr>
      <w:spacing w:before="440" w:line="400" w:lineRule="exact"/>
      <w:jc w:val="center"/>
    </w:pPr>
    <w:rPr>
      <w:rFonts w:ascii="宋体" w:hAnsi="Calibri" w:eastAsia="宋体" w:cs="Times New Roman"/>
      <w:sz w:val="24"/>
      <w:lang w:val="en-US" w:eastAsia="zh-CN" w:bidi="ar-SA"/>
    </w:rPr>
  </w:style>
  <w:style w:type="paragraph" w:customStyle="1" w:styleId="135">
    <w:name w:val="封面标准号1"/>
    <w:uiPriority w:val="0"/>
    <w:pPr>
      <w:widowControl w:val="0"/>
      <w:kinsoku w:val="0"/>
      <w:overflowPunct w:val="0"/>
      <w:autoSpaceDE w:val="0"/>
      <w:autoSpaceDN w:val="0"/>
      <w:spacing w:before="308"/>
      <w:jc w:val="right"/>
    </w:pPr>
    <w:rPr>
      <w:rFonts w:ascii="Calibri" w:hAnsi="Calibri" w:eastAsia="宋体" w:cs="Times New Roman"/>
      <w:sz w:val="28"/>
      <w:lang w:val="en-US" w:eastAsia="zh-CN" w:bidi="ar-SA"/>
    </w:rPr>
  </w:style>
  <w:style w:type="paragraph" w:customStyle="1" w:styleId="136">
    <w:name w:val="Char"/>
    <w:basedOn w:val="1"/>
    <w:uiPriority w:val="0"/>
    <w:pPr>
      <w:widowControl/>
      <w:spacing w:after="160" w:line="240" w:lineRule="exact"/>
      <w:jc w:val="left"/>
    </w:pPr>
    <w:rPr>
      <w:rFonts w:ascii="Verdana" w:hAnsi="Verdana"/>
      <w:kern w:val="0"/>
      <w:sz w:val="18"/>
      <w:szCs w:val="20"/>
      <w:lang w:eastAsia="en-US"/>
    </w:rPr>
  </w:style>
  <w:style w:type="paragraph" w:customStyle="1" w:styleId="137">
    <w:name w:val="封面标准名称"/>
    <w:uiPriority w:val="0"/>
    <w:pPr>
      <w:widowControl w:val="0"/>
      <w:spacing w:line="680" w:lineRule="exact"/>
      <w:jc w:val="center"/>
    </w:pPr>
    <w:rPr>
      <w:rFonts w:ascii="黑体" w:hAnsi="Calibri" w:eastAsia="黑体" w:cs="Times New Roman"/>
      <w:sz w:val="52"/>
      <w:lang w:val="en-US" w:eastAsia="zh-CN" w:bidi="ar-SA"/>
    </w:rPr>
  </w:style>
  <w:style w:type="paragraph" w:customStyle="1" w:styleId="138">
    <w:name w:val="其他发布部门"/>
    <w:basedOn w:val="139"/>
    <w:uiPriority w:val="0"/>
    <w:pPr>
      <w:spacing w:line="0" w:lineRule="atLeast"/>
    </w:pPr>
    <w:rPr>
      <w:rFonts w:ascii="黑体" w:eastAsia="黑体"/>
      <w:b w:val="0"/>
    </w:rPr>
  </w:style>
  <w:style w:type="paragraph" w:customStyle="1" w:styleId="139">
    <w:name w:val="发布部门"/>
    <w:next w:val="94"/>
    <w:uiPriority w:val="0"/>
    <w:pPr>
      <w:jc w:val="center"/>
    </w:pPr>
    <w:rPr>
      <w:rFonts w:ascii="宋体" w:hAnsi="Calibri" w:eastAsia="宋体" w:cs="Times New Roman"/>
      <w:b/>
      <w:spacing w:val="20"/>
      <w:w w:val="135"/>
      <w:sz w:val="36"/>
      <w:lang w:val="en-US" w:eastAsia="zh-CN" w:bidi="ar-SA"/>
    </w:rPr>
  </w:style>
  <w:style w:type="paragraph" w:customStyle="1" w:styleId="140">
    <w:name w:val="章标题"/>
    <w:next w:val="94"/>
    <w:uiPriority w:val="0"/>
    <w:pPr>
      <w:tabs>
        <w:tab w:val="left" w:pos="360"/>
      </w:tabs>
      <w:spacing w:beforeLines="50" w:afterLines="50"/>
      <w:jc w:val="both"/>
      <w:outlineLvl w:val="1"/>
    </w:pPr>
    <w:rPr>
      <w:rFonts w:ascii="黑体" w:hAnsi="Calibri" w:eastAsia="黑体" w:cs="Times New Roman"/>
      <w:sz w:val="21"/>
      <w:lang w:val="en-US" w:eastAsia="zh-CN" w:bidi="ar-SA"/>
    </w:rPr>
  </w:style>
  <w:style w:type="paragraph" w:customStyle="1" w:styleId="141">
    <w:name w:val="附录五级条标题"/>
    <w:basedOn w:val="89"/>
    <w:next w:val="94"/>
    <w:uiPriority w:val="0"/>
    <w:pPr>
      <w:numPr>
        <w:ilvl w:val="6"/>
        <w:numId w:val="1"/>
      </w:numPr>
      <w:outlineLvl w:val="6"/>
    </w:pPr>
  </w:style>
  <w:style w:type="paragraph" w:customStyle="1" w:styleId="142">
    <w:name w:val="列出段落1"/>
    <w:basedOn w:val="1"/>
    <w:qFormat/>
    <w:uiPriority w:val="34"/>
    <w:pPr>
      <w:ind w:firstLine="420" w:firstLineChars="200"/>
    </w:pPr>
    <w:rPr>
      <w:rFonts w:ascii="Calibri" w:hAnsi="Calibri"/>
      <w:szCs w:val="22"/>
    </w:rPr>
  </w:style>
  <w:style w:type="paragraph" w:customStyle="1" w:styleId="143">
    <w:name w:val="注×："/>
    <w:uiPriority w:val="0"/>
    <w:pPr>
      <w:widowControl w:val="0"/>
      <w:numPr>
        <w:ilvl w:val="0"/>
        <w:numId w:val="11"/>
      </w:numPr>
      <w:tabs>
        <w:tab w:val="left" w:pos="630"/>
      </w:tabs>
      <w:autoSpaceDE w:val="0"/>
      <w:autoSpaceDN w:val="0"/>
      <w:jc w:val="both"/>
    </w:pPr>
    <w:rPr>
      <w:rFonts w:ascii="宋体" w:hAnsi="Calibri" w:eastAsia="宋体" w:cs="Times New Roman"/>
      <w:sz w:val="18"/>
      <w:lang w:val="en-US" w:eastAsia="zh-CN" w:bidi="ar-SA"/>
    </w:rPr>
  </w:style>
  <w:style w:type="paragraph" w:customStyle="1" w:styleId="144">
    <w:name w:val="目次、索引正文"/>
    <w:uiPriority w:val="0"/>
    <w:pPr>
      <w:spacing w:line="320" w:lineRule="exact"/>
      <w:jc w:val="both"/>
    </w:pPr>
    <w:rPr>
      <w:rFonts w:ascii="宋体" w:hAnsi="Calibri" w:eastAsia="宋体" w:cs="Times New Roman"/>
      <w:sz w:val="21"/>
      <w:lang w:val="en-US" w:eastAsia="zh-CN" w:bidi="ar-SA"/>
    </w:rPr>
  </w:style>
  <w:style w:type="paragraph" w:customStyle="1" w:styleId="145">
    <w:name w:val="标准书脚_奇数页"/>
    <w:uiPriority w:val="0"/>
    <w:pPr>
      <w:spacing w:before="120"/>
      <w:jc w:val="right"/>
    </w:pPr>
    <w:rPr>
      <w:rFonts w:ascii="Calibri" w:hAnsi="Calibri" w:eastAsia="宋体" w:cs="Times New Roman"/>
      <w:sz w:val="18"/>
      <w:lang w:val="en-US" w:eastAsia="zh-CN" w:bidi="ar-SA"/>
    </w:rPr>
  </w:style>
  <w:style w:type="paragraph" w:customStyle="1" w:styleId="146">
    <w:name w:val="封面标准号2"/>
    <w:basedOn w:val="135"/>
    <w:uiPriority w:val="0"/>
    <w:pPr>
      <w:adjustRightInd w:val="0"/>
      <w:spacing w:before="357" w:line="280" w:lineRule="exact"/>
    </w:pPr>
  </w:style>
  <w:style w:type="paragraph" w:customStyle="1" w:styleId="147">
    <w:name w:val="附录表标题"/>
    <w:next w:val="94"/>
    <w:uiPriority w:val="0"/>
    <w:pPr>
      <w:numPr>
        <w:ilvl w:val="0"/>
        <w:numId w:val="12"/>
      </w:numPr>
      <w:tabs>
        <w:tab w:val="left" w:pos="360"/>
      </w:tabs>
      <w:jc w:val="center"/>
    </w:pPr>
    <w:rPr>
      <w:rFonts w:ascii="黑体" w:hAnsi="Calibri" w:eastAsia="黑体" w:cs="Times New Roman"/>
      <w:kern w:val="21"/>
      <w:sz w:val="21"/>
      <w:lang w:val="en-US" w:eastAsia="zh-CN" w:bidi="ar-SA"/>
    </w:rPr>
  </w:style>
  <w:style w:type="paragraph" w:customStyle="1" w:styleId="148">
    <w:name w:val="封面标准代替信息"/>
    <w:basedOn w:val="146"/>
    <w:uiPriority w:val="0"/>
    <w:pPr>
      <w:spacing w:before="57"/>
    </w:pPr>
    <w:rPr>
      <w:rFonts w:ascii="宋体"/>
      <w:sz w:val="21"/>
    </w:rPr>
  </w:style>
  <w:style w:type="paragraph" w:customStyle="1" w:styleId="149">
    <w:name w:val="标准称谓"/>
    <w:next w:val="1"/>
    <w:uiPriority w:val="0"/>
    <w:pPr>
      <w:widowControl w:val="0"/>
      <w:kinsoku w:val="0"/>
      <w:overflowPunct w:val="0"/>
      <w:autoSpaceDE w:val="0"/>
      <w:autoSpaceDN w:val="0"/>
      <w:spacing w:line="0" w:lineRule="atLeast"/>
      <w:jc w:val="distribute"/>
    </w:pPr>
    <w:rPr>
      <w:rFonts w:ascii="宋体" w:hAnsi="Calibri" w:eastAsia="宋体" w:cs="Times New Roman"/>
      <w:b/>
      <w:bCs/>
      <w:spacing w:val="20"/>
      <w:w w:val="148"/>
      <w:sz w:val="52"/>
      <w:lang w:val="en-US" w:eastAsia="zh-CN" w:bidi="ar-SA"/>
    </w:rPr>
  </w:style>
  <w:style w:type="paragraph" w:customStyle="1" w:styleId="150">
    <w:name w:val="Defaul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2883</Words>
  <Characters>3106</Characters>
  <Lines>33</Lines>
  <Paragraphs>9</Paragraphs>
  <TotalTime>116</TotalTime>
  <ScaleCrop>false</ScaleCrop>
  <LinksUpToDate>false</LinksUpToDate>
  <CharactersWithSpaces>3244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2022-12-13T08:21:00Z</dcterms:created>
  <dc:creator>Legend User</dc:creator>
  <cp:lastModifiedBy>HUAWEI</cp:lastModifiedBy>
  <cp:lastPrinted>2023-05-09T02:30:00Z</cp:lastPrinted>
  <dcterms:modified xsi:type="dcterms:W3CDTF">2025-06-25T07:18:51Z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46118C72B03A4A7399A825620300D0DE_13</vt:lpwstr>
  </property>
  <property fmtid="{D5CDD505-2E9C-101B-9397-08002B2CF9AE}" pid="4" name="KSOTemplateDocerSaveRecord">
    <vt:lpwstr>eyJoZGlkIjoiMzEwNTM5NzYwMDRjMzkwZTVkZjY2ODkwMGIxNGU0OTUifQ==</vt:lpwstr>
  </property>
</Properties>
</file>